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CB700" w14:textId="77777777"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2841"/>
        <w:gridCol w:w="3129"/>
        <w:gridCol w:w="4911"/>
      </w:tblGrid>
      <w:tr w:rsidR="00537543" w:rsidRPr="000A486B" w14:paraId="0F52C1A0" w14:textId="77777777" w:rsidTr="00537543">
        <w:tc>
          <w:tcPr>
            <w:tcW w:w="10881" w:type="dxa"/>
            <w:gridSpan w:val="3"/>
            <w:shd w:val="clear" w:color="auto" w:fill="17365D" w:themeFill="text2" w:themeFillShade="BF"/>
          </w:tcPr>
          <w:p w14:paraId="76755BE1" w14:textId="77777777"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14:paraId="0815638C" w14:textId="77777777" w:rsidTr="00537543">
        <w:tc>
          <w:tcPr>
            <w:tcW w:w="5495" w:type="dxa"/>
            <w:gridSpan w:val="2"/>
          </w:tcPr>
          <w:p w14:paraId="74DAC667" w14:textId="77777777" w:rsidR="00537543" w:rsidRPr="000A486B" w:rsidRDefault="005E32E2" w:rsidP="005E32E2">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Pr>
                <w:rFonts w:asciiTheme="minorHAnsi" w:hAnsiTheme="minorHAnsi"/>
                <w:b/>
                <w:lang w:val="en-US"/>
              </w:rPr>
              <w:t xml:space="preserve"> – Course 1, component 2: The European Union: Legal </w:t>
            </w:r>
            <w:r w:rsidRPr="005E32E2">
              <w:rPr>
                <w:rFonts w:asciiTheme="minorHAnsi" w:hAnsiTheme="minorHAnsi"/>
                <w:b/>
                <w:lang w:val="en-US"/>
              </w:rPr>
              <w:t>History and Institutions</w:t>
            </w:r>
          </w:p>
          <w:p w14:paraId="07FA4EDD" w14:textId="77777777" w:rsidR="00537543" w:rsidRPr="000961FB" w:rsidRDefault="00537543" w:rsidP="00415041">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5E32E2" w:rsidRPr="000961FB">
              <w:rPr>
                <w:rFonts w:asciiTheme="minorHAnsi" w:hAnsiTheme="minorHAnsi"/>
                <w:b/>
                <w:lang w:val="en-US"/>
              </w:rPr>
              <w:t>Spring 2021</w:t>
            </w:r>
            <w:r w:rsidRPr="000961FB">
              <w:rPr>
                <w:rFonts w:asciiTheme="minorHAnsi" w:hAnsiTheme="minorHAnsi"/>
                <w:b/>
                <w:lang w:val="en-US"/>
              </w:rPr>
              <w:br/>
            </w:r>
            <w:r w:rsidR="005E32E2" w:rsidRPr="000961FB">
              <w:rPr>
                <w:rFonts w:asciiTheme="minorHAnsi" w:hAnsiTheme="minorHAnsi"/>
                <w:b/>
                <w:lang w:val="en-US"/>
              </w:rPr>
              <w:t>Department:           Legal Skills</w:t>
            </w:r>
          </w:p>
          <w:p w14:paraId="28B02810" w14:textId="77777777"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5386" w:type="dxa"/>
          </w:tcPr>
          <w:p w14:paraId="08FDB500" w14:textId="77777777" w:rsidR="00537543" w:rsidRPr="000A486B" w:rsidRDefault="00537543" w:rsidP="00E60C57">
            <w:pPr>
              <w:rPr>
                <w:rFonts w:asciiTheme="minorHAnsi" w:hAnsiTheme="minorHAnsi"/>
                <w:b/>
                <w:lang w:val="en-US"/>
              </w:rPr>
            </w:pPr>
          </w:p>
        </w:tc>
      </w:tr>
      <w:tr w:rsidR="00537543" w:rsidRPr="000A486B" w14:paraId="6D78C594" w14:textId="77777777" w:rsidTr="00537543">
        <w:tc>
          <w:tcPr>
            <w:tcW w:w="5495" w:type="dxa"/>
            <w:gridSpan w:val="2"/>
          </w:tcPr>
          <w:p w14:paraId="37989B38" w14:textId="77777777" w:rsidR="00537543" w:rsidRPr="000A486B" w:rsidRDefault="00537543" w:rsidP="00415041">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Sunday, Tuesday &amp; Thursday 4-5pm</w:t>
            </w:r>
            <w:r w:rsidR="005E32E2" w:rsidRPr="000A486B">
              <w:rPr>
                <w:rFonts w:asciiTheme="minorHAnsi" w:hAnsiTheme="minorHAnsi"/>
                <w:b/>
                <w:lang w:val="en-US"/>
              </w:rPr>
              <w:t xml:space="preserve">  </w:t>
            </w:r>
          </w:p>
          <w:p w14:paraId="7487975F" w14:textId="77777777"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14:paraId="10C70429" w14:textId="77777777" w:rsidR="00537543" w:rsidRPr="000A486B" w:rsidRDefault="00537543" w:rsidP="00036D31">
            <w:pPr>
              <w:tabs>
                <w:tab w:val="left" w:pos="1985"/>
              </w:tabs>
              <w:rPr>
                <w:rFonts w:asciiTheme="minorHAnsi" w:hAnsiTheme="minorHAnsi"/>
                <w:lang w:val="en-US"/>
              </w:rPr>
            </w:pPr>
            <w:r w:rsidRPr="000A486B">
              <w:rPr>
                <w:rFonts w:asciiTheme="minorHAnsi" w:hAnsiTheme="minorHAnsi"/>
                <w:b/>
                <w:lang w:val="en-US"/>
              </w:rPr>
              <w:t xml:space="preserve">Classroom:  </w:t>
            </w:r>
            <w:r w:rsidR="005E32E2">
              <w:rPr>
                <w:rFonts w:asciiTheme="minorHAnsi" w:hAnsiTheme="minorHAnsi"/>
                <w:b/>
                <w:lang w:val="en-US"/>
              </w:rPr>
              <w:t xml:space="preserve">            Online</w:t>
            </w:r>
            <w:r w:rsidRPr="000A486B">
              <w:rPr>
                <w:rFonts w:asciiTheme="minorHAnsi" w:hAnsiTheme="minorHAnsi"/>
                <w:b/>
                <w:lang w:val="en-US"/>
              </w:rPr>
              <w:t xml:space="preserve">    </w:t>
            </w:r>
            <w:r w:rsidR="00304804" w:rsidRPr="000A486B">
              <w:rPr>
                <w:rFonts w:asciiTheme="minorHAnsi" w:hAnsiTheme="minorHAnsi"/>
                <w:b/>
                <w:lang w:val="en-US"/>
              </w:rPr>
              <w:t xml:space="preserve">         </w:t>
            </w:r>
            <w:r w:rsidRPr="000A486B">
              <w:rPr>
                <w:rFonts w:asciiTheme="minorHAnsi" w:hAnsiTheme="minorHAnsi"/>
                <w:b/>
                <w:lang w:val="en-US"/>
              </w:rPr>
              <w:t xml:space="preserve"> </w:t>
            </w:r>
          </w:p>
          <w:p w14:paraId="3DF75B0F" w14:textId="77777777" w:rsidR="00537543" w:rsidRPr="000A486B" w:rsidRDefault="00101143" w:rsidP="00101143">
            <w:pPr>
              <w:tabs>
                <w:tab w:val="left" w:pos="4180"/>
              </w:tabs>
              <w:rPr>
                <w:rFonts w:asciiTheme="minorHAnsi" w:hAnsiTheme="minorHAnsi"/>
                <w:b/>
                <w:lang w:val="en-US"/>
              </w:rPr>
            </w:pPr>
            <w:r>
              <w:rPr>
                <w:rFonts w:asciiTheme="minorHAnsi" w:hAnsiTheme="minorHAnsi"/>
                <w:b/>
                <w:lang w:val="en-US"/>
              </w:rPr>
              <w:tab/>
            </w:r>
          </w:p>
        </w:tc>
        <w:tc>
          <w:tcPr>
            <w:tcW w:w="5386" w:type="dxa"/>
          </w:tcPr>
          <w:p w14:paraId="556D10D6" w14:textId="77777777"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Pr="005E32E2">
              <w:rPr>
                <w:rFonts w:asciiTheme="minorHAnsi" w:hAnsiTheme="minorHAnsi"/>
                <w:lang w:val="en-US"/>
              </w:rPr>
              <w:t>9 hours</w:t>
            </w:r>
            <w:r w:rsidRPr="005E32E2">
              <w:rPr>
                <w:rFonts w:asciiTheme="minorHAnsi" w:hAnsiTheme="minorHAnsi"/>
                <w:lang w:val="en-US"/>
              </w:rPr>
              <w:tab/>
              <w:t xml:space="preserve">           </w:t>
            </w:r>
          </w:p>
          <w:p w14:paraId="542BB908" w14:textId="77777777" w:rsidR="005E32E2" w:rsidRPr="005E32E2" w:rsidRDefault="005E32E2" w:rsidP="005E32E2">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done 30 credit hours already.           </w:t>
            </w:r>
          </w:p>
          <w:p w14:paraId="2C665933" w14:textId="77777777" w:rsidR="00537543" w:rsidRPr="005E32E2" w:rsidRDefault="00E60C57" w:rsidP="005E32E2">
            <w:pPr>
              <w:rPr>
                <w:rFonts w:asciiTheme="minorHAnsi" w:hAnsiTheme="minorHAnsi"/>
                <w:lang w:val="en-US"/>
              </w:rPr>
            </w:pPr>
            <w:r w:rsidRPr="000A486B">
              <w:rPr>
                <w:rFonts w:asciiTheme="minorHAnsi" w:hAnsiTheme="minorHAnsi"/>
                <w:lang w:val="en-US"/>
              </w:rPr>
              <w:t xml:space="preserve">   </w:t>
            </w:r>
          </w:p>
        </w:tc>
      </w:tr>
      <w:tr w:rsidR="00537543" w:rsidRPr="000A486B" w14:paraId="4444CBF2" w14:textId="77777777" w:rsidTr="00537543">
        <w:tc>
          <w:tcPr>
            <w:tcW w:w="10881" w:type="dxa"/>
            <w:gridSpan w:val="3"/>
            <w:shd w:val="clear" w:color="auto" w:fill="17365D" w:themeFill="text2" w:themeFillShade="BF"/>
          </w:tcPr>
          <w:p w14:paraId="4D40A69E" w14:textId="77777777"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14:paraId="56899EBE" w14:textId="77777777" w:rsidTr="00537543">
        <w:tc>
          <w:tcPr>
            <w:tcW w:w="10881" w:type="dxa"/>
            <w:gridSpan w:val="3"/>
            <w:tcBorders>
              <w:bottom w:val="single" w:sz="4" w:space="0" w:color="000000" w:themeColor="text1"/>
            </w:tcBorders>
          </w:tcPr>
          <w:p w14:paraId="1E50E6DF" w14:textId="77777777" w:rsidR="00E60C57" w:rsidRPr="000A486B" w:rsidRDefault="00E60C57" w:rsidP="004256B7">
            <w:pPr>
              <w:tabs>
                <w:tab w:val="left" w:pos="1985"/>
              </w:tabs>
              <w:jc w:val="both"/>
              <w:rPr>
                <w:rFonts w:ascii="Calibri" w:hAnsi="Calibri"/>
                <w:color w:val="000000"/>
                <w:lang w:val="en-US"/>
              </w:rPr>
            </w:pPr>
          </w:p>
          <w:p w14:paraId="20B5B854" w14:textId="77777777" w:rsidR="00E60C57" w:rsidRPr="000A486B" w:rsidRDefault="005E32E2" w:rsidP="004256B7">
            <w:pPr>
              <w:tabs>
                <w:tab w:val="left" w:pos="1985"/>
              </w:tabs>
              <w:jc w:val="both"/>
              <w:rPr>
                <w:rFonts w:ascii="Calibri" w:hAnsi="Calibri"/>
                <w:color w:val="000000"/>
                <w:lang w:val="en-US"/>
              </w:rPr>
            </w:pPr>
            <w:r w:rsidRPr="005E32E2">
              <w:rPr>
                <w:rFonts w:ascii="Calibri" w:hAnsi="Calibri"/>
                <w:color w:val="000000"/>
                <w:lang w:val="en-US"/>
              </w:rPr>
              <w:t>This component of the course will focus on the European Union’s most important institutions and bodies, which help the European Union with its functions. Students will explore how member states delegate some of their decision-making powers to these and bodies. The course will focus, inter alia, on the following institutions: the European Commission, the European Parliament, the Council of the European Union, the European Court of Justice, the European Ombudsman, the Committee of Regions and the European Central Bank. Special emphasis will be places on the legislative process and the role played by the different institutions.</w:t>
            </w:r>
          </w:p>
          <w:p w14:paraId="766D34A5" w14:textId="77777777" w:rsidR="00537543" w:rsidRPr="000A486B" w:rsidRDefault="00537543" w:rsidP="004256B7">
            <w:pPr>
              <w:tabs>
                <w:tab w:val="left" w:pos="1985"/>
              </w:tabs>
              <w:jc w:val="both"/>
              <w:rPr>
                <w:rFonts w:ascii="Calibri" w:hAnsi="Calibri"/>
                <w:color w:val="000000"/>
                <w:lang w:val="en-US"/>
              </w:rPr>
            </w:pPr>
          </w:p>
        </w:tc>
      </w:tr>
      <w:tr w:rsidR="008C7E31" w:rsidRPr="000A486B" w14:paraId="0A7437ED" w14:textId="77777777" w:rsidTr="008E1F36">
        <w:tc>
          <w:tcPr>
            <w:tcW w:w="10881" w:type="dxa"/>
            <w:gridSpan w:val="3"/>
            <w:tcBorders>
              <w:bottom w:val="single" w:sz="4" w:space="0" w:color="000000" w:themeColor="text1"/>
            </w:tcBorders>
            <w:shd w:val="clear" w:color="auto" w:fill="17365D" w:themeFill="text2" w:themeFillShade="BF"/>
          </w:tcPr>
          <w:p w14:paraId="789BC227" w14:textId="77777777"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14:paraId="40312919" w14:textId="77777777" w:rsidTr="00537543">
        <w:tc>
          <w:tcPr>
            <w:tcW w:w="10881" w:type="dxa"/>
            <w:gridSpan w:val="3"/>
            <w:tcBorders>
              <w:bottom w:val="single" w:sz="4" w:space="0" w:color="000000" w:themeColor="text1"/>
            </w:tcBorders>
          </w:tcPr>
          <w:p w14:paraId="279225FD"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14:paraId="2CC818CD" w14:textId="77777777" w:rsidR="00E60C57" w:rsidRPr="000A486B" w:rsidRDefault="00E60C57" w:rsidP="00E60C57">
            <w:pPr>
              <w:rPr>
                <w:rFonts w:ascii="Calibri" w:hAnsi="Calibri"/>
                <w:color w:val="000000"/>
                <w:lang w:val="en-US"/>
              </w:rPr>
            </w:pPr>
          </w:p>
          <w:p w14:paraId="136C4BAA"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14:paraId="3C9F6E68" w14:textId="77777777" w:rsidR="00E60C57" w:rsidRPr="000A486B" w:rsidRDefault="00E60C57" w:rsidP="00E60C57">
            <w:pPr>
              <w:rPr>
                <w:rFonts w:ascii="Calibri" w:hAnsi="Calibri"/>
                <w:color w:val="000000"/>
                <w:lang w:val="en-US"/>
              </w:rPr>
            </w:pPr>
          </w:p>
          <w:p w14:paraId="4B5B67B8"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14:paraId="0CA6D2D1" w14:textId="77777777" w:rsidR="00E60C57" w:rsidRPr="000A486B" w:rsidRDefault="00E60C57" w:rsidP="00E60C57">
            <w:pPr>
              <w:rPr>
                <w:rFonts w:ascii="Calibri" w:hAnsi="Calibri"/>
                <w:color w:val="000000"/>
                <w:lang w:val="en-US"/>
              </w:rPr>
            </w:pPr>
          </w:p>
          <w:p w14:paraId="76F24EA6"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14:paraId="48C03562" w14:textId="77777777" w:rsidR="00E60C57" w:rsidRPr="000A486B" w:rsidRDefault="00E60C57" w:rsidP="00E60C57">
            <w:pPr>
              <w:rPr>
                <w:rFonts w:ascii="Calibri" w:hAnsi="Calibri"/>
                <w:color w:val="000000"/>
                <w:lang w:val="en-US"/>
              </w:rPr>
            </w:pPr>
          </w:p>
          <w:p w14:paraId="10CCCCD7" w14:textId="77777777"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14:paraId="1BDB1E96" w14:textId="77777777" w:rsidR="008C7E31" w:rsidRPr="000A486B" w:rsidRDefault="008C7E31" w:rsidP="00537543">
            <w:pPr>
              <w:tabs>
                <w:tab w:val="left" w:pos="1985"/>
              </w:tabs>
              <w:jc w:val="both"/>
              <w:rPr>
                <w:rFonts w:ascii="Calibri" w:hAnsi="Calibri"/>
                <w:color w:val="000000"/>
                <w:highlight w:val="yellow"/>
                <w:lang w:val="en-US"/>
              </w:rPr>
            </w:pPr>
          </w:p>
        </w:tc>
      </w:tr>
      <w:tr w:rsidR="008C7E31" w:rsidRPr="000A486B" w14:paraId="2FB3F7C3" w14:textId="77777777" w:rsidTr="00537543">
        <w:tc>
          <w:tcPr>
            <w:tcW w:w="10881" w:type="dxa"/>
            <w:gridSpan w:val="3"/>
            <w:tcBorders>
              <w:bottom w:val="single" w:sz="4" w:space="0" w:color="000000" w:themeColor="text1"/>
            </w:tcBorders>
            <w:shd w:val="clear" w:color="auto" w:fill="17365D" w:themeFill="text2" w:themeFillShade="BF"/>
          </w:tcPr>
          <w:p w14:paraId="39027E4C" w14:textId="77777777"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0961FB" w14:paraId="58B4881D" w14:textId="77777777" w:rsidTr="00537543">
        <w:tc>
          <w:tcPr>
            <w:tcW w:w="2141" w:type="dxa"/>
            <w:tcBorders>
              <w:right w:val="nil"/>
            </w:tcBorders>
          </w:tcPr>
          <w:p w14:paraId="2634B8A0" w14:textId="77777777"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14:paraId="4F9BA239" w14:textId="77777777" w:rsidR="005E32E2" w:rsidRPr="00EF3E16" w:rsidRDefault="005E32E2"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Dr. Ioannis Konstantinidis</w:t>
            </w:r>
          </w:p>
          <w:p w14:paraId="20AB4538" w14:textId="77777777" w:rsidR="00B118A5" w:rsidRPr="00EF3E16" w:rsidRDefault="005E32E2"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lastRenderedPageBreak/>
              <w:t>Asst. Professor of International Law</w:t>
            </w:r>
            <w:r w:rsidR="008C7E31" w:rsidRPr="00EF3E16">
              <w:rPr>
                <w:rFonts w:asciiTheme="minorHAnsi" w:hAnsiTheme="minorHAnsi" w:cstheme="minorHAnsi"/>
                <w:b/>
                <w:lang w:val="en-US"/>
              </w:rPr>
              <w:tab/>
            </w:r>
            <w:r w:rsidR="008C7E31" w:rsidRPr="00EF3E16">
              <w:rPr>
                <w:rFonts w:asciiTheme="minorHAnsi" w:hAnsiTheme="minorHAnsi" w:cstheme="minorHAnsi"/>
                <w:lang w:val="en-US"/>
              </w:rPr>
              <w:tab/>
            </w:r>
          </w:p>
          <w:p w14:paraId="658B2705" w14:textId="77777777"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14:paraId="2664D511" w14:textId="77777777" w:rsidR="008C7E31" w:rsidRPr="00EF3E16" w:rsidRDefault="005E32E2" w:rsidP="00537543">
            <w:pPr>
              <w:tabs>
                <w:tab w:val="left" w:pos="1985"/>
              </w:tabs>
              <w:rPr>
                <w:rFonts w:asciiTheme="minorHAnsi" w:hAnsiTheme="minorHAnsi" w:cstheme="minorHAnsi"/>
                <w:lang w:val="en-US"/>
              </w:rPr>
            </w:pPr>
            <w:r w:rsidRPr="00EF3E16">
              <w:rPr>
                <w:rFonts w:asciiTheme="minorHAnsi" w:hAnsiTheme="minorHAnsi" w:cstheme="minorHAnsi"/>
                <w:lang w:val="en-US"/>
              </w:rPr>
              <w:t>New Faculty Building, I03</w:t>
            </w:r>
            <w:r w:rsidR="008C7E31" w:rsidRPr="00EF3E16">
              <w:rPr>
                <w:rFonts w:asciiTheme="minorHAnsi" w:hAnsiTheme="minorHAnsi" w:cstheme="minorHAnsi"/>
                <w:lang w:val="en-US"/>
              </w:rPr>
              <w:t xml:space="preserve">  </w:t>
            </w:r>
          </w:p>
          <w:p w14:paraId="054EB662" w14:textId="77777777"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14:paraId="37B792D6" w14:textId="77777777" w:rsidR="005E32E2" w:rsidRPr="00EF3E16" w:rsidRDefault="005E32E2" w:rsidP="00537543">
            <w:pPr>
              <w:rPr>
                <w:rFonts w:asciiTheme="minorHAnsi" w:hAnsiTheme="minorHAnsi" w:cstheme="minorHAnsi"/>
                <w:lang w:val="en-US"/>
              </w:rPr>
            </w:pPr>
            <w:r w:rsidRPr="00EF3E16">
              <w:rPr>
                <w:rFonts w:asciiTheme="minorHAnsi" w:hAnsiTheme="minorHAnsi" w:cstheme="minorHAnsi"/>
                <w:lang w:val="en-US"/>
              </w:rPr>
              <w:t>Monday, 10:00 AM – 11:00 AM</w:t>
            </w:r>
          </w:p>
          <w:p w14:paraId="1888EF4A" w14:textId="77777777" w:rsidR="008C7E31" w:rsidRPr="00EF3E16" w:rsidRDefault="008C7E31" w:rsidP="00537543">
            <w:pPr>
              <w:rPr>
                <w:rFonts w:asciiTheme="minorHAnsi" w:hAnsiTheme="minorHAnsi" w:cstheme="minorHAnsi"/>
                <w:b/>
                <w:lang w:val="en-US"/>
              </w:rPr>
            </w:pPr>
          </w:p>
          <w:p w14:paraId="5850B1AA" w14:textId="77777777" w:rsidR="008C7E31" w:rsidRPr="00EF3E16" w:rsidRDefault="005E32E2" w:rsidP="005E32E2">
            <w:pPr>
              <w:rPr>
                <w:rFonts w:asciiTheme="minorHAnsi" w:hAnsiTheme="minorHAnsi" w:cstheme="minorHAnsi"/>
                <w:b/>
                <w:lang w:val="en-US"/>
              </w:rPr>
            </w:pPr>
            <w:r w:rsidRPr="00EF3E16">
              <w:rPr>
                <w:rFonts w:asciiTheme="minorHAnsi" w:hAnsiTheme="minorHAnsi" w:cstheme="minorHAnsi"/>
                <w:b/>
                <w:lang w:val="en-US"/>
              </w:rPr>
              <w:t>Telephone: 4403 6519</w:t>
            </w:r>
            <w:r w:rsidR="008C7E31" w:rsidRPr="00EF3E16">
              <w:rPr>
                <w:rFonts w:asciiTheme="minorHAnsi" w:hAnsiTheme="minorHAnsi" w:cstheme="minorHAnsi"/>
                <w:b/>
                <w:lang w:val="en-US"/>
              </w:rPr>
              <w:t xml:space="preserve">            </w:t>
            </w:r>
          </w:p>
          <w:p w14:paraId="2ABCA10C" w14:textId="77777777" w:rsidR="008C7E31" w:rsidRPr="00EF3E16" w:rsidRDefault="008C7E31" w:rsidP="00537543">
            <w:pPr>
              <w:rPr>
                <w:rFonts w:asciiTheme="minorHAnsi" w:hAnsiTheme="minorHAnsi" w:cstheme="minorHAnsi"/>
                <w:lang w:val="fr-FR"/>
              </w:rPr>
            </w:pPr>
            <w:r w:rsidRPr="00EF3E16">
              <w:rPr>
                <w:rFonts w:asciiTheme="minorHAnsi" w:hAnsiTheme="minorHAnsi" w:cstheme="minorHAnsi"/>
                <w:b/>
                <w:lang w:val="fr-FR"/>
              </w:rPr>
              <w:t>E-Mail:</w:t>
            </w:r>
            <w:r w:rsidRPr="00EF3E16">
              <w:rPr>
                <w:rFonts w:asciiTheme="minorHAnsi" w:hAnsiTheme="minorHAnsi" w:cstheme="minorHAnsi"/>
                <w:b/>
                <w:lang w:val="fr-FR"/>
              </w:rPr>
              <w:tab/>
            </w:r>
            <w:r w:rsidRPr="00EF3E16">
              <w:rPr>
                <w:rFonts w:asciiTheme="minorHAnsi" w:hAnsiTheme="minorHAnsi" w:cstheme="minorHAnsi"/>
                <w:lang w:val="fr-FR"/>
              </w:rPr>
              <w:t xml:space="preserve">         </w:t>
            </w:r>
            <w:hyperlink r:id="rId11" w:history="1">
              <w:r w:rsidR="005E32E2" w:rsidRPr="00EF3E16">
                <w:rPr>
                  <w:rStyle w:val="Hyperlink"/>
                  <w:rFonts w:asciiTheme="minorHAnsi" w:hAnsiTheme="minorHAnsi" w:cstheme="minorHAnsi"/>
                  <w:lang w:val="fr-FR"/>
                </w:rPr>
                <w:t>ikonstantinidis@qu.edu.qa</w:t>
              </w:r>
            </w:hyperlink>
            <w:r w:rsidR="005E32E2" w:rsidRPr="00EF3E16">
              <w:rPr>
                <w:rFonts w:asciiTheme="minorHAnsi" w:hAnsiTheme="minorHAnsi" w:cstheme="minorHAnsi"/>
                <w:lang w:val="fr-FR"/>
              </w:rPr>
              <w:t xml:space="preserve"> </w:t>
            </w:r>
            <w:r w:rsidRPr="00EF3E16">
              <w:rPr>
                <w:rFonts w:asciiTheme="minorHAnsi" w:hAnsiTheme="minorHAnsi" w:cstheme="minorHAnsi"/>
                <w:lang w:val="fr-FR"/>
              </w:rPr>
              <w:t xml:space="preserve">             </w:t>
            </w:r>
          </w:p>
        </w:tc>
        <w:tc>
          <w:tcPr>
            <w:tcW w:w="8740" w:type="dxa"/>
            <w:gridSpan w:val="2"/>
            <w:tcBorders>
              <w:left w:val="nil"/>
            </w:tcBorders>
          </w:tcPr>
          <w:p w14:paraId="217B1E7B" w14:textId="77777777" w:rsidR="004631AF" w:rsidRPr="00EF3E16" w:rsidRDefault="004631AF" w:rsidP="00E60C57">
            <w:pPr>
              <w:rPr>
                <w:rFonts w:asciiTheme="minorHAnsi" w:hAnsiTheme="minorHAnsi" w:cstheme="minorHAnsi"/>
                <w:lang w:val="fr-FR"/>
              </w:rPr>
            </w:pPr>
          </w:p>
          <w:p w14:paraId="0B4D155A" w14:textId="77777777" w:rsidR="004631AF" w:rsidRPr="00EF3E16" w:rsidRDefault="004631AF" w:rsidP="00537543">
            <w:pPr>
              <w:rPr>
                <w:rFonts w:asciiTheme="minorHAnsi" w:hAnsiTheme="minorHAnsi" w:cstheme="minorHAnsi"/>
                <w:lang w:val="fr-FR"/>
              </w:rPr>
            </w:pPr>
          </w:p>
          <w:p w14:paraId="2738C7CF" w14:textId="77777777" w:rsidR="000C5249" w:rsidRPr="00EF3E16" w:rsidRDefault="000C5249" w:rsidP="00176E98">
            <w:pPr>
              <w:rPr>
                <w:rFonts w:asciiTheme="minorHAnsi" w:hAnsiTheme="minorHAnsi" w:cstheme="minorHAnsi"/>
                <w:b/>
                <w:lang w:val="fr-FR"/>
              </w:rPr>
            </w:pPr>
          </w:p>
          <w:p w14:paraId="485606D2" w14:textId="77777777" w:rsidR="00B118A5" w:rsidRPr="00EF3E16" w:rsidRDefault="00B118A5" w:rsidP="000C5249">
            <w:pPr>
              <w:rPr>
                <w:rFonts w:asciiTheme="minorHAnsi" w:hAnsiTheme="minorHAnsi" w:cstheme="minorHAnsi"/>
                <w:lang w:val="fr-FR"/>
              </w:rPr>
            </w:pPr>
          </w:p>
          <w:p w14:paraId="27509017" w14:textId="77777777" w:rsidR="008C7E31" w:rsidRPr="00EF3E16" w:rsidRDefault="000C5249" w:rsidP="000C5249">
            <w:pPr>
              <w:rPr>
                <w:rFonts w:asciiTheme="minorHAnsi" w:hAnsiTheme="minorHAnsi" w:cstheme="minorHAnsi"/>
                <w:lang w:val="fr-FR"/>
              </w:rPr>
            </w:pPr>
            <w:r w:rsidRPr="00EF3E16">
              <w:rPr>
                <w:rFonts w:asciiTheme="minorHAnsi" w:hAnsiTheme="minorHAnsi" w:cstheme="minorHAnsi"/>
                <w:lang w:val="fr-FR"/>
              </w:rPr>
              <w:t xml:space="preserve"> </w:t>
            </w:r>
          </w:p>
        </w:tc>
      </w:tr>
      <w:tr w:rsidR="008C7E31" w:rsidRPr="000A486B" w14:paraId="648B3F6F" w14:textId="77777777" w:rsidTr="00537543">
        <w:tc>
          <w:tcPr>
            <w:tcW w:w="10881" w:type="dxa"/>
            <w:gridSpan w:val="3"/>
            <w:shd w:val="clear" w:color="auto" w:fill="17365D" w:themeFill="text2" w:themeFillShade="BF"/>
          </w:tcPr>
          <w:p w14:paraId="20D69E7F" w14:textId="77777777"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lastRenderedPageBreak/>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14:paraId="0919F9D7" w14:textId="77777777" w:rsidTr="00537543">
        <w:tc>
          <w:tcPr>
            <w:tcW w:w="10881" w:type="dxa"/>
            <w:gridSpan w:val="3"/>
          </w:tcPr>
          <w:p w14:paraId="4D0D623C" w14:textId="77777777" w:rsidR="00213534" w:rsidRDefault="00213534" w:rsidP="00213534">
            <w:pPr>
              <w:pStyle w:val="ListParagraph"/>
              <w:jc w:val="both"/>
              <w:rPr>
                <w:rFonts w:ascii="Calibri" w:hAnsi="Calibri"/>
                <w:b/>
                <w:sz w:val="24"/>
                <w:szCs w:val="24"/>
                <w:u w:val="single"/>
                <w:lang w:val="en-US"/>
              </w:rPr>
            </w:pPr>
          </w:p>
          <w:p w14:paraId="157E7AA1" w14:textId="77777777" w:rsidR="001B346D" w:rsidRPr="000A486B" w:rsidRDefault="009E0299"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14:paraId="30333C5E" w14:textId="77777777" w:rsidR="00DA294A" w:rsidRDefault="00DA294A" w:rsidP="00DA294A">
            <w:pPr>
              <w:pStyle w:val="ListParagraph"/>
              <w:jc w:val="both"/>
              <w:rPr>
                <w:rFonts w:ascii="Calibri" w:hAnsi="Calibri"/>
                <w:b/>
                <w:sz w:val="24"/>
                <w:szCs w:val="24"/>
                <w:u w:val="single"/>
                <w:lang w:val="en-US"/>
              </w:rPr>
            </w:pPr>
          </w:p>
          <w:p w14:paraId="389FBFBC" w14:textId="77777777"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G. Robinson, </w:t>
            </w:r>
            <w:r>
              <w:rPr>
                <w:rFonts w:ascii="Calibri" w:hAnsi="Calibri"/>
                <w:bCs/>
                <w:i/>
                <w:iCs/>
                <w:sz w:val="24"/>
                <w:szCs w:val="24"/>
                <w:lang w:val="en-US"/>
              </w:rPr>
              <w:t xml:space="preserve">Optimize European Union Law, </w:t>
            </w:r>
            <w:r>
              <w:rPr>
                <w:rFonts w:ascii="Calibri" w:hAnsi="Calibri"/>
                <w:bCs/>
                <w:sz w:val="24"/>
                <w:szCs w:val="24"/>
                <w:lang w:val="en-US"/>
              </w:rPr>
              <w:t xml:space="preserve">London, </w:t>
            </w:r>
            <w:r w:rsidRPr="00475250">
              <w:rPr>
                <w:rFonts w:ascii="Calibri" w:hAnsi="Calibri"/>
                <w:bCs/>
                <w:sz w:val="24"/>
                <w:szCs w:val="24"/>
                <w:lang w:val="en-US"/>
              </w:rPr>
              <w:t>Routledge</w:t>
            </w:r>
            <w:r>
              <w:rPr>
                <w:rFonts w:ascii="Calibri" w:hAnsi="Calibri"/>
                <w:bCs/>
                <w:sz w:val="24"/>
                <w:szCs w:val="24"/>
                <w:lang w:val="en-US"/>
              </w:rPr>
              <w:t xml:space="preserve">, 2014. </w:t>
            </w:r>
          </w:p>
          <w:p w14:paraId="638B641D" w14:textId="77777777"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C. Turner, </w:t>
            </w:r>
            <w:r>
              <w:rPr>
                <w:rFonts w:ascii="Calibri" w:hAnsi="Calibri"/>
                <w:bCs/>
                <w:i/>
                <w:iCs/>
                <w:sz w:val="24"/>
                <w:szCs w:val="24"/>
                <w:lang w:val="en-US"/>
              </w:rPr>
              <w:t>Unlocking EU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2014.</w:t>
            </w:r>
          </w:p>
          <w:p w14:paraId="758C9E0C" w14:textId="77777777"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M. Cremona (ed.), </w:t>
            </w:r>
            <w:r>
              <w:rPr>
                <w:rFonts w:ascii="Calibri" w:hAnsi="Calibri"/>
                <w:bCs/>
                <w:i/>
                <w:iCs/>
                <w:sz w:val="24"/>
                <w:szCs w:val="24"/>
                <w:lang w:val="en-US"/>
              </w:rPr>
              <w:t>Compliance and the Enforcement of EU Law</w:t>
            </w:r>
            <w:r>
              <w:rPr>
                <w:rFonts w:ascii="Calibri" w:hAnsi="Calibri"/>
                <w:bCs/>
                <w:sz w:val="24"/>
                <w:szCs w:val="24"/>
                <w:lang w:val="en-US"/>
              </w:rPr>
              <w:t>, Oxford, Oxford University Press, 2012.</w:t>
            </w:r>
          </w:p>
          <w:p w14:paraId="2E9839AE" w14:textId="77777777" w:rsidR="00475250" w:rsidRDefault="00475250" w:rsidP="00475250">
            <w:pPr>
              <w:pStyle w:val="ListParagraph"/>
              <w:numPr>
                <w:ilvl w:val="0"/>
                <w:numId w:val="24"/>
              </w:numPr>
              <w:jc w:val="both"/>
              <w:rPr>
                <w:rFonts w:ascii="Calibri" w:hAnsi="Calibri"/>
                <w:bCs/>
                <w:sz w:val="24"/>
                <w:szCs w:val="24"/>
                <w:lang w:val="en-US"/>
              </w:rPr>
            </w:pPr>
            <w:r>
              <w:rPr>
                <w:rFonts w:ascii="Calibri" w:hAnsi="Calibri"/>
                <w:bCs/>
                <w:sz w:val="24"/>
                <w:szCs w:val="24"/>
                <w:lang w:val="en-US"/>
              </w:rPr>
              <w:t>A.</w:t>
            </w:r>
            <w:r w:rsidRPr="00475250">
              <w:rPr>
                <w:rFonts w:ascii="Calibri" w:hAnsi="Calibri"/>
                <w:bCs/>
                <w:sz w:val="24"/>
                <w:szCs w:val="24"/>
                <w:lang w:val="en-US"/>
              </w:rPr>
              <w:t xml:space="preserve"> Kaczorowska-Ireland</w:t>
            </w:r>
            <w:r>
              <w:rPr>
                <w:rFonts w:ascii="Calibri" w:hAnsi="Calibri"/>
                <w:bCs/>
                <w:sz w:val="24"/>
                <w:szCs w:val="24"/>
                <w:lang w:val="en-US"/>
              </w:rPr>
              <w:t xml:space="preserve">, </w:t>
            </w:r>
            <w:r>
              <w:rPr>
                <w:rFonts w:ascii="Calibri" w:hAnsi="Calibri"/>
                <w:bCs/>
                <w:i/>
                <w:iCs/>
                <w:sz w:val="24"/>
                <w:szCs w:val="24"/>
                <w:lang w:val="en-US"/>
              </w:rPr>
              <w:t>European Union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2016. </w:t>
            </w:r>
          </w:p>
          <w:p w14:paraId="20E9A3DA" w14:textId="77777777" w:rsidR="00475250" w:rsidRDefault="00213534" w:rsidP="00213534">
            <w:pPr>
              <w:pStyle w:val="ListParagraph"/>
              <w:numPr>
                <w:ilvl w:val="0"/>
                <w:numId w:val="24"/>
              </w:numPr>
              <w:jc w:val="both"/>
              <w:rPr>
                <w:rFonts w:ascii="Calibri" w:hAnsi="Calibri"/>
                <w:bCs/>
                <w:sz w:val="24"/>
                <w:szCs w:val="24"/>
                <w:lang w:val="en-US"/>
              </w:rPr>
            </w:pPr>
            <w:r>
              <w:rPr>
                <w:rFonts w:ascii="Calibri" w:hAnsi="Calibri"/>
                <w:bCs/>
                <w:sz w:val="24"/>
                <w:szCs w:val="24"/>
                <w:lang w:val="en-US"/>
              </w:rPr>
              <w:t>F. GoudappelErnst M.H and H.</w:t>
            </w:r>
            <w:r w:rsidR="00475250" w:rsidRPr="00475250">
              <w:rPr>
                <w:rFonts w:ascii="Calibri" w:hAnsi="Calibri"/>
                <w:bCs/>
                <w:sz w:val="24"/>
                <w:szCs w:val="24"/>
                <w:lang w:val="en-US"/>
              </w:rPr>
              <w:t xml:space="preserve"> Ballin</w:t>
            </w:r>
            <w:r>
              <w:rPr>
                <w:rFonts w:ascii="Calibri" w:hAnsi="Calibri"/>
                <w:bCs/>
                <w:sz w:val="24"/>
                <w:szCs w:val="24"/>
                <w:lang w:val="en-US"/>
              </w:rPr>
              <w:t xml:space="preserve">, </w:t>
            </w:r>
            <w:r w:rsidRPr="00213534">
              <w:rPr>
                <w:rFonts w:ascii="Calibri" w:hAnsi="Calibri"/>
                <w:bCs/>
                <w:i/>
                <w:iCs/>
                <w:sz w:val="24"/>
                <w:szCs w:val="24"/>
                <w:lang w:val="en-US"/>
              </w:rPr>
              <w:t>Democracy and Rule of Law in the European Union: Essays in Honour of Jaap W. de Zwaan</w:t>
            </w:r>
            <w:r>
              <w:rPr>
                <w:rFonts w:ascii="Calibri" w:hAnsi="Calibri"/>
                <w:bCs/>
                <w:sz w:val="24"/>
                <w:szCs w:val="24"/>
                <w:lang w:val="en-US"/>
              </w:rPr>
              <w:t xml:space="preserve">, Springer, 2016. </w:t>
            </w:r>
          </w:p>
          <w:p w14:paraId="3E3F9B4B" w14:textId="77777777" w:rsidR="00213534" w:rsidRPr="00213534" w:rsidRDefault="00213534" w:rsidP="00213534">
            <w:pPr>
              <w:pStyle w:val="ListParagraph"/>
              <w:numPr>
                <w:ilvl w:val="0"/>
                <w:numId w:val="24"/>
              </w:numPr>
              <w:jc w:val="both"/>
              <w:rPr>
                <w:rFonts w:ascii="Calibri" w:hAnsi="Calibri"/>
                <w:bCs/>
                <w:sz w:val="24"/>
                <w:szCs w:val="24"/>
                <w:lang w:val="en-US"/>
              </w:rPr>
            </w:pPr>
            <w:r>
              <w:rPr>
                <w:rFonts w:ascii="Calibri" w:hAnsi="Calibri"/>
                <w:bCs/>
                <w:sz w:val="24"/>
                <w:szCs w:val="24"/>
                <w:lang w:val="en-US"/>
              </w:rPr>
              <w:t>S. Morano-Foadi and J.</w:t>
            </w:r>
            <w:r w:rsidRPr="00213534">
              <w:rPr>
                <w:rFonts w:ascii="Calibri" w:hAnsi="Calibri"/>
                <w:bCs/>
                <w:sz w:val="24"/>
                <w:szCs w:val="24"/>
                <w:lang w:val="en-US"/>
              </w:rPr>
              <w:t xml:space="preserve"> Neller</w:t>
            </w:r>
            <w:r>
              <w:rPr>
                <w:rFonts w:ascii="Calibri" w:hAnsi="Calibri"/>
                <w:bCs/>
                <w:sz w:val="24"/>
                <w:szCs w:val="24"/>
                <w:lang w:val="en-US"/>
              </w:rPr>
              <w:t xml:space="preserve">, </w:t>
            </w:r>
            <w:r w:rsidRPr="000961FB">
              <w:rPr>
                <w:rFonts w:ascii="Calibri" w:hAnsi="Calibri"/>
                <w:bCs/>
                <w:i/>
                <w:iCs/>
                <w:sz w:val="24"/>
                <w:szCs w:val="24"/>
                <w:lang w:val="en-US"/>
              </w:rPr>
              <w:t>Fairhurst's Law of the European Union</w:t>
            </w:r>
            <w:r>
              <w:rPr>
                <w:rFonts w:ascii="Calibri" w:hAnsi="Calibri"/>
                <w:bCs/>
                <w:sz w:val="24"/>
                <w:szCs w:val="24"/>
                <w:lang w:val="en-US"/>
              </w:rPr>
              <w:t>, Pearson, 20</w:t>
            </w:r>
            <w:r w:rsidRPr="00213534">
              <w:rPr>
                <w:rFonts w:ascii="Calibri" w:hAnsi="Calibri"/>
                <w:bCs/>
                <w:sz w:val="24"/>
                <w:szCs w:val="24"/>
                <w:vertAlign w:val="superscript"/>
                <w:lang w:val="en-US"/>
              </w:rPr>
              <w:t>th</w:t>
            </w:r>
            <w:r>
              <w:rPr>
                <w:rFonts w:ascii="Calibri" w:hAnsi="Calibri"/>
                <w:bCs/>
                <w:sz w:val="24"/>
                <w:szCs w:val="24"/>
                <w:lang w:val="en-US"/>
              </w:rPr>
              <w:t xml:space="preserve"> ed., 2018.</w:t>
            </w:r>
          </w:p>
          <w:p w14:paraId="29354F75" w14:textId="77777777" w:rsidR="00667DE9" w:rsidRPr="000A486B" w:rsidRDefault="00667DE9" w:rsidP="00DA294A">
            <w:pPr>
              <w:ind w:left="360"/>
              <w:jc w:val="both"/>
              <w:rPr>
                <w:rFonts w:ascii="Calibri" w:hAnsi="Calibri"/>
                <w:lang w:val="en-US"/>
              </w:rPr>
            </w:pPr>
          </w:p>
          <w:p w14:paraId="7D3612B8" w14:textId="77777777" w:rsidR="000428CA" w:rsidRPr="000A486B" w:rsidRDefault="000428CA" w:rsidP="00DA294A">
            <w:pPr>
              <w:jc w:val="both"/>
              <w:rPr>
                <w:rFonts w:ascii="Calibri" w:hAnsi="Calibri"/>
                <w:bCs/>
                <w:lang w:val="en-US"/>
              </w:rPr>
            </w:pPr>
          </w:p>
          <w:p w14:paraId="1E79072B" w14:textId="77777777" w:rsidR="004A2449" w:rsidRDefault="008C7E31"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Suggested Additional Resources</w:t>
            </w:r>
            <w:r w:rsidR="000428CA" w:rsidRPr="000A486B">
              <w:rPr>
                <w:rFonts w:ascii="Calibri" w:hAnsi="Calibri"/>
                <w:b/>
                <w:sz w:val="24"/>
                <w:szCs w:val="24"/>
                <w:u w:val="single"/>
                <w:lang w:val="en-US"/>
              </w:rPr>
              <w:t>:</w:t>
            </w:r>
          </w:p>
          <w:p w14:paraId="2414CCDF" w14:textId="77777777" w:rsidR="00213534" w:rsidRPr="00213534" w:rsidRDefault="000961FB" w:rsidP="00213534">
            <w:pPr>
              <w:pStyle w:val="NormalWeb"/>
              <w:shd w:val="clear" w:color="auto" w:fill="FFFFFF"/>
              <w:spacing w:before="0" w:beforeAutospacing="0" w:after="150" w:afterAutospacing="0"/>
              <w:rPr>
                <w:rFonts w:ascii="Arial" w:hAnsi="Arial" w:cs="Arial"/>
                <w:sz w:val="21"/>
                <w:szCs w:val="21"/>
              </w:rPr>
            </w:pPr>
            <w:hyperlink r:id="rId12" w:tgtFrame="_blank" w:history="1">
              <w:r w:rsidR="00213534" w:rsidRPr="00213534">
                <w:rPr>
                  <w:rStyle w:val="Hyperlink"/>
                  <w:rFonts w:ascii="Calibri" w:hAnsi="Calibri" w:cs="Calibri"/>
                  <w:b/>
                  <w:bCs/>
                  <w:color w:val="auto"/>
                </w:rPr>
                <w:t>EuroVoc</w:t>
              </w:r>
            </w:hyperlink>
            <w:r w:rsidR="00213534"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14:paraId="4D044F18" w14:textId="77777777" w:rsidR="00213534" w:rsidRPr="00213534" w:rsidRDefault="000961FB" w:rsidP="00213534">
            <w:pPr>
              <w:pStyle w:val="NormalWeb"/>
              <w:shd w:val="clear" w:color="auto" w:fill="FFFFFF"/>
              <w:spacing w:before="0" w:beforeAutospacing="0" w:after="150" w:afterAutospacing="0"/>
              <w:rPr>
                <w:rFonts w:ascii="Arial" w:hAnsi="Arial" w:cs="Arial"/>
                <w:sz w:val="21"/>
                <w:szCs w:val="21"/>
              </w:rPr>
            </w:pPr>
            <w:hyperlink r:id="rId13" w:tgtFrame="_blank" w:history="1">
              <w:r w:rsidR="00213534" w:rsidRPr="00213534">
                <w:rPr>
                  <w:rStyle w:val="Hyperlink"/>
                  <w:rFonts w:ascii="Calibri" w:hAnsi="Calibri" w:cs="Calibri"/>
                  <w:b/>
                  <w:bCs/>
                  <w:color w:val="auto"/>
                </w:rPr>
                <w:t>The European e-Justice Portal</w:t>
              </w:r>
            </w:hyperlink>
            <w:r w:rsidR="00213534" w:rsidRPr="00213534">
              <w:rPr>
                <w:rFonts w:ascii="Calibri" w:hAnsi="Calibri" w:cs="Calibri"/>
              </w:rPr>
              <w:t> is a useful research tool providing information on justice systems - it is designed for the layperson, as well as lawyers, litigants and researchers. It links to </w:t>
            </w:r>
            <w:hyperlink r:id="rId14"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5" w:tgtFrame="_blank" w:history="1">
              <w:r w:rsidR="00213534" w:rsidRPr="00213534">
                <w:rPr>
                  <w:rStyle w:val="Hyperlink"/>
                  <w:rFonts w:ascii="Calibri" w:hAnsi="Calibri" w:cs="Calibri"/>
                  <w:b/>
                  <w:bCs/>
                  <w:color w:val="auto"/>
                </w:rPr>
                <w:t>member state</w:t>
              </w:r>
            </w:hyperlink>
            <w:r w:rsidR="00213534" w:rsidRPr="00213534">
              <w:rPr>
                <w:rFonts w:ascii="Calibri" w:hAnsi="Calibri" w:cs="Calibri"/>
              </w:rPr>
              <w:t> and </w:t>
            </w:r>
            <w:hyperlink r:id="rId16" w:tgtFrame="_blank" w:history="1">
              <w:r w:rsidR="00213534" w:rsidRPr="00213534">
                <w:rPr>
                  <w:rStyle w:val="Hyperlink"/>
                  <w:rFonts w:ascii="Calibri" w:hAnsi="Calibri" w:cs="Calibri"/>
                  <w:b/>
                  <w:bCs/>
                  <w:color w:val="auto"/>
                </w:rPr>
                <w:t>international case law</w:t>
              </w:r>
            </w:hyperlink>
            <w:r w:rsidR="00213534" w:rsidRPr="00213534">
              <w:rPr>
                <w:rFonts w:ascii="Calibri" w:hAnsi="Calibri" w:cs="Calibri"/>
              </w:rPr>
              <w:t> and </w:t>
            </w:r>
            <w:hyperlink r:id="rId17"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8" w:tgtFrame="_blank" w:history="1">
              <w:r w:rsidR="00213534" w:rsidRPr="00213534">
                <w:rPr>
                  <w:rStyle w:val="Hyperlink"/>
                  <w:rFonts w:ascii="Calibri" w:hAnsi="Calibri" w:cs="Calibri"/>
                  <w:b/>
                  <w:bCs/>
                  <w:color w:val="auto"/>
                </w:rPr>
                <w:t>member state national</w:t>
              </w:r>
            </w:hyperlink>
            <w:r w:rsidR="00213534" w:rsidRPr="00213534">
              <w:rPr>
                <w:rFonts w:ascii="Calibri" w:hAnsi="Calibri" w:cs="Calibri"/>
              </w:rPr>
              <w:t> and </w:t>
            </w:r>
            <w:hyperlink r:id="rId19" w:tgtFrame="_blank" w:history="1">
              <w:r w:rsidR="00213534" w:rsidRPr="00213534">
                <w:rPr>
                  <w:rStyle w:val="Hyperlink"/>
                  <w:rFonts w:ascii="Calibri" w:hAnsi="Calibri" w:cs="Calibri"/>
                  <w:b/>
                  <w:bCs/>
                  <w:color w:val="auto"/>
                </w:rPr>
                <w:t>international</w:t>
              </w:r>
            </w:hyperlink>
            <w:r w:rsidR="00213534" w:rsidRPr="00213534">
              <w:rPr>
                <w:rFonts w:ascii="Calibri" w:hAnsi="Calibri" w:cs="Calibri"/>
              </w:rPr>
              <w:t> legislation.</w:t>
            </w:r>
          </w:p>
          <w:p w14:paraId="395B1B85" w14:textId="77777777" w:rsidR="00213534" w:rsidRPr="00213534" w:rsidRDefault="00213534" w:rsidP="00213534">
            <w:pPr>
              <w:jc w:val="both"/>
              <w:rPr>
                <w:rFonts w:ascii="Calibri" w:hAnsi="Calibri"/>
                <w:b/>
                <w:u w:val="single"/>
              </w:rPr>
            </w:pPr>
            <w:r w:rsidRPr="00213534">
              <w:rPr>
                <w:rFonts w:ascii="Calibri" w:hAnsi="Calibri" w:cs="Calibri"/>
                <w:shd w:val="clear" w:color="auto" w:fill="FFFFFF"/>
                <w:lang w:val="en-US"/>
              </w:rPr>
              <w:t>The </w:t>
            </w:r>
            <w:hyperlink r:id="rId20" w:tgtFrame="_blank" w:history="1">
              <w:r w:rsidRPr="00213534">
                <w:rPr>
                  <w:rFonts w:ascii="Calibri" w:hAnsi="Calibri" w:cs="Calibri"/>
                  <w:b/>
                  <w:bCs/>
                  <w:u w:val="single"/>
                  <w:shd w:val="clear" w:color="auto" w:fill="FFFFFF"/>
                  <w:lang w:val="en-US"/>
                </w:rPr>
                <w:t>Europa</w:t>
              </w:r>
            </w:hyperlink>
            <w:r w:rsidRPr="00213534">
              <w:rPr>
                <w:rFonts w:ascii="Calibri" w:hAnsi="Calibri" w:cs="Calibri"/>
                <w:shd w:val="clear" w:color="auto" w:fill="FFFFFF"/>
                <w:lang w:val="en-US"/>
              </w:rPr>
              <w:t> platform (open access) includes the </w:t>
            </w:r>
            <w:hyperlink r:id="rId21" w:tgtFrame="_blank" w:history="1">
              <w:r w:rsidRPr="00213534">
                <w:rPr>
                  <w:rFonts w:ascii="Calibri" w:hAnsi="Calibri" w:cs="Calibri"/>
                  <w:b/>
                  <w:bCs/>
                  <w:u w:val="single"/>
                  <w:lang w:val="en-US"/>
                </w:rPr>
                <w:t>EU Bookshop</w:t>
              </w:r>
            </w:hyperlink>
            <w:r w:rsidRPr="00213534">
              <w:rPr>
                <w:rFonts w:ascii="Calibri" w:hAnsi="Calibri" w:cs="Calibri"/>
                <w:shd w:val="clear" w:color="auto" w:fill="FFFFFF"/>
                <w:lang w:val="en-US"/>
              </w:rPr>
              <w:t> which offers open access to a large quantity of documents including reports, newsletters, teaching tools and other documents on the history and current workings of the EU.</w:t>
            </w:r>
          </w:p>
          <w:p w14:paraId="773B81F3" w14:textId="77777777" w:rsidR="008C7E31" w:rsidRPr="00213534" w:rsidRDefault="008C7E31" w:rsidP="00DA294A">
            <w:pPr>
              <w:autoSpaceDE w:val="0"/>
              <w:autoSpaceDN w:val="0"/>
              <w:adjustRightInd w:val="0"/>
              <w:jc w:val="both"/>
              <w:rPr>
                <w:rFonts w:ascii="Calibri" w:hAnsi="Calibri" w:cs="Calibri"/>
                <w:lang w:val="en-US"/>
              </w:rPr>
            </w:pPr>
            <w:r w:rsidRPr="00213534">
              <w:rPr>
                <w:rFonts w:ascii="Calibri" w:hAnsi="Calibri" w:cs="Calibri"/>
                <w:i/>
                <w:lang w:val="en-US"/>
              </w:rPr>
              <w:tab/>
            </w:r>
            <w:r w:rsidRPr="00213534">
              <w:rPr>
                <w:rFonts w:ascii="Calibri" w:hAnsi="Calibri" w:cs="Calibri"/>
                <w:lang w:val="en-US"/>
              </w:rPr>
              <w:tab/>
            </w:r>
          </w:p>
          <w:p w14:paraId="40F52FCD" w14:textId="77777777" w:rsidR="000C5249" w:rsidRPr="000A486B" w:rsidRDefault="00E60C57"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Recommended Law Journals</w:t>
            </w:r>
            <w:r w:rsidR="000428CA" w:rsidRPr="000A486B">
              <w:rPr>
                <w:rFonts w:asciiTheme="minorHAnsi" w:hAnsiTheme="minorHAnsi"/>
                <w:b/>
                <w:sz w:val="24"/>
                <w:szCs w:val="24"/>
                <w:u w:val="single"/>
                <w:lang w:val="en-US"/>
              </w:rPr>
              <w:t>:</w:t>
            </w:r>
          </w:p>
          <w:p w14:paraId="1937B44D" w14:textId="77777777" w:rsidR="00213534" w:rsidRPr="00213534" w:rsidRDefault="00213534" w:rsidP="00213534">
            <w:pPr>
              <w:pStyle w:val="NormalWeb"/>
              <w:shd w:val="clear" w:color="auto" w:fill="FFFFFF"/>
              <w:spacing w:before="0" w:beforeAutospacing="0" w:after="150" w:afterAutospacing="0"/>
              <w:rPr>
                <w:rFonts w:ascii="Arial" w:hAnsi="Arial" w:cs="Arial"/>
                <w:sz w:val="21"/>
                <w:szCs w:val="21"/>
              </w:rPr>
            </w:pPr>
            <w:r w:rsidRPr="00213534">
              <w:rPr>
                <w:rFonts w:ascii="Calibri" w:hAnsi="Calibri" w:cs="Calibri"/>
              </w:rPr>
              <w:t xml:space="preserve">E-journals on EU law held by the </w:t>
            </w:r>
            <w:r>
              <w:rPr>
                <w:rFonts w:ascii="Calibri" w:hAnsi="Calibri" w:cs="Calibri"/>
              </w:rPr>
              <w:t xml:space="preserve">QU </w:t>
            </w:r>
            <w:r w:rsidRPr="00213534">
              <w:rPr>
                <w:rFonts w:ascii="Calibri" w:hAnsi="Calibri" w:cs="Calibri"/>
              </w:rPr>
              <w:t>Library include:</w:t>
            </w:r>
          </w:p>
          <w:p w14:paraId="090CA5DF"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2" w:tgtFrame="_blank" w:history="1">
              <w:r w:rsidR="00213534" w:rsidRPr="00213534">
                <w:rPr>
                  <w:rStyle w:val="Hyperlink"/>
                  <w:rFonts w:ascii="Arial" w:hAnsi="Arial" w:cs="Arial"/>
                  <w:b/>
                  <w:bCs/>
                  <w:color w:val="auto"/>
                  <w:sz w:val="21"/>
                  <w:szCs w:val="21"/>
                </w:rPr>
                <w:t>Columbia Journal of European law</w:t>
              </w:r>
            </w:hyperlink>
          </w:p>
          <w:p w14:paraId="454422D2"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(1994) to current</w:t>
            </w:r>
          </w:p>
          <w:p w14:paraId="61F89EB7"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3" w:tgtFrame="_blank" w:history="1">
              <w:r w:rsidR="00213534" w:rsidRPr="00213534">
                <w:rPr>
                  <w:rStyle w:val="Hyperlink"/>
                  <w:rFonts w:ascii="Arial" w:hAnsi="Arial" w:cs="Arial"/>
                  <w:b/>
                  <w:bCs/>
                  <w:color w:val="auto"/>
                  <w:sz w:val="21"/>
                  <w:szCs w:val="21"/>
                </w:rPr>
                <w:t>Common Market Law Review</w:t>
              </w:r>
            </w:hyperlink>
          </w:p>
          <w:p w14:paraId="19EDB6D0"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(1963) to current</w:t>
            </w:r>
          </w:p>
          <w:p w14:paraId="4F8B055B"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4" w:tgtFrame="_blank" w:history="1">
              <w:r w:rsidR="00213534" w:rsidRPr="00213534">
                <w:rPr>
                  <w:rStyle w:val="Hyperlink"/>
                  <w:rFonts w:ascii="Arial" w:hAnsi="Arial" w:cs="Arial"/>
                  <w:b/>
                  <w:bCs/>
                  <w:color w:val="auto"/>
                  <w:sz w:val="21"/>
                  <w:szCs w:val="21"/>
                </w:rPr>
                <w:t>European Business Law Review</w:t>
              </w:r>
            </w:hyperlink>
          </w:p>
          <w:p w14:paraId="23594BF4"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(1990) to current</w:t>
            </w:r>
          </w:p>
          <w:p w14:paraId="33C38597"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5" w:tgtFrame="_blank" w:history="1">
              <w:r w:rsidR="00213534" w:rsidRPr="00213534">
                <w:rPr>
                  <w:rStyle w:val="Hyperlink"/>
                  <w:rFonts w:ascii="Arial" w:hAnsi="Arial" w:cs="Arial"/>
                  <w:b/>
                  <w:bCs/>
                  <w:color w:val="auto"/>
                  <w:sz w:val="21"/>
                  <w:szCs w:val="21"/>
                </w:rPr>
                <w:t>European Energy and Environmental Law Review</w:t>
              </w:r>
            </w:hyperlink>
          </w:p>
          <w:p w14:paraId="6EE8C34D"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(1992) to current</w:t>
            </w:r>
          </w:p>
          <w:p w14:paraId="72994BD1"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6" w:tgtFrame="_blank" w:history="1">
              <w:r w:rsidR="00213534" w:rsidRPr="00213534">
                <w:rPr>
                  <w:rStyle w:val="Hyperlink"/>
                  <w:rFonts w:ascii="Arial" w:hAnsi="Arial" w:cs="Arial"/>
                  <w:b/>
                  <w:bCs/>
                  <w:color w:val="auto"/>
                  <w:sz w:val="21"/>
                  <w:szCs w:val="21"/>
                </w:rPr>
                <w:t>European Foreign Affairs Review</w:t>
              </w:r>
            </w:hyperlink>
          </w:p>
          <w:p w14:paraId="7DFE9206"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(1996) to current</w:t>
            </w:r>
          </w:p>
          <w:p w14:paraId="2A34EF2F"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7" w:tgtFrame="_blank" w:history="1">
              <w:r w:rsidR="00213534" w:rsidRPr="00213534">
                <w:rPr>
                  <w:rStyle w:val="Hyperlink"/>
                  <w:rFonts w:ascii="Arial" w:hAnsi="Arial" w:cs="Arial"/>
                  <w:b/>
                  <w:bCs/>
                  <w:color w:val="auto"/>
                  <w:sz w:val="21"/>
                  <w:szCs w:val="21"/>
                </w:rPr>
                <w:t>European Journal of International Law</w:t>
              </w:r>
            </w:hyperlink>
          </w:p>
          <w:p w14:paraId="4BC8B36B"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(1990) to current</w:t>
            </w:r>
          </w:p>
          <w:p w14:paraId="6D97E570"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8" w:tgtFrame="_blank" w:history="1">
              <w:r w:rsidR="00213534" w:rsidRPr="00213534">
                <w:rPr>
                  <w:rStyle w:val="Hyperlink"/>
                  <w:rFonts w:ascii="Arial" w:hAnsi="Arial" w:cs="Arial"/>
                  <w:b/>
                  <w:bCs/>
                  <w:color w:val="auto"/>
                  <w:sz w:val="21"/>
                  <w:szCs w:val="21"/>
                </w:rPr>
                <w:t>European Public Law</w:t>
              </w:r>
            </w:hyperlink>
          </w:p>
          <w:p w14:paraId="7749E428"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(1995) to current</w:t>
            </w:r>
          </w:p>
          <w:p w14:paraId="68C2D714"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29" w:tgtFrame="_blank" w:history="1">
              <w:r w:rsidR="00213534" w:rsidRPr="00213534">
                <w:rPr>
                  <w:rStyle w:val="Hyperlink"/>
                  <w:rFonts w:ascii="Arial" w:hAnsi="Arial" w:cs="Arial"/>
                  <w:b/>
                  <w:bCs/>
                  <w:color w:val="auto"/>
                  <w:sz w:val="21"/>
                  <w:szCs w:val="21"/>
                </w:rPr>
                <w:t>European Review of Private Law</w:t>
              </w:r>
            </w:hyperlink>
          </w:p>
          <w:p w14:paraId="15C2008C"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(1993) to current</w:t>
            </w:r>
          </w:p>
          <w:p w14:paraId="4E9BAC03"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30" w:tgtFrame="_blank" w:history="1">
              <w:r w:rsidR="00213534" w:rsidRPr="00213534">
                <w:rPr>
                  <w:rStyle w:val="Hyperlink"/>
                  <w:rFonts w:ascii="Arial" w:hAnsi="Arial" w:cs="Arial"/>
                  <w:b/>
                  <w:bCs/>
                  <w:color w:val="auto"/>
                  <w:sz w:val="21"/>
                  <w:szCs w:val="21"/>
                </w:rPr>
                <w:t>Journal of Common Market Studies</w:t>
              </w:r>
            </w:hyperlink>
          </w:p>
          <w:p w14:paraId="4522CEEC"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(1962) to current</w:t>
            </w:r>
          </w:p>
          <w:p w14:paraId="636919C9"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31" w:tgtFrame="_blank" w:history="1">
              <w:r w:rsidR="00213534" w:rsidRPr="00213534">
                <w:rPr>
                  <w:rStyle w:val="Hyperlink"/>
                  <w:rFonts w:ascii="Arial" w:hAnsi="Arial" w:cs="Arial"/>
                  <w:b/>
                  <w:bCs/>
                  <w:color w:val="auto"/>
                  <w:sz w:val="21"/>
                  <w:szCs w:val="21"/>
                </w:rPr>
                <w:t>Journal of European Consumer and Market Law</w:t>
              </w:r>
            </w:hyperlink>
          </w:p>
          <w:p w14:paraId="520F1CFE"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(2012) to current</w:t>
            </w:r>
          </w:p>
          <w:p w14:paraId="28D82879"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32" w:tgtFrame="_blank" w:history="1">
              <w:r w:rsidR="00213534" w:rsidRPr="00213534">
                <w:rPr>
                  <w:rStyle w:val="Hyperlink"/>
                  <w:rFonts w:ascii="Arial" w:hAnsi="Arial" w:cs="Arial"/>
                  <w:b/>
                  <w:bCs/>
                  <w:color w:val="auto"/>
                  <w:sz w:val="21"/>
                  <w:szCs w:val="21"/>
                </w:rPr>
                <w:t>Journal of European Integration</w:t>
              </w:r>
            </w:hyperlink>
          </w:p>
          <w:p w14:paraId="07956887"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(1977) to current</w:t>
            </w:r>
          </w:p>
          <w:p w14:paraId="09D7A9DC" w14:textId="77777777" w:rsidR="00213534" w:rsidRPr="00213534" w:rsidRDefault="000961FB" w:rsidP="00213534">
            <w:pPr>
              <w:numPr>
                <w:ilvl w:val="0"/>
                <w:numId w:val="26"/>
              </w:numPr>
              <w:shd w:val="clear" w:color="auto" w:fill="FFFFFF"/>
              <w:spacing w:before="100" w:beforeAutospacing="1" w:after="100" w:afterAutospacing="1"/>
              <w:rPr>
                <w:rFonts w:ascii="Arial" w:hAnsi="Arial" w:cs="Arial"/>
                <w:sz w:val="21"/>
                <w:szCs w:val="21"/>
              </w:rPr>
            </w:pPr>
            <w:hyperlink r:id="rId33" w:tgtFrame="_blank" w:history="1">
              <w:r w:rsidR="00213534" w:rsidRPr="00213534">
                <w:rPr>
                  <w:rStyle w:val="Hyperlink"/>
                  <w:rFonts w:ascii="Arial" w:hAnsi="Arial" w:cs="Arial"/>
                  <w:b/>
                  <w:bCs/>
                  <w:color w:val="auto"/>
                  <w:sz w:val="21"/>
                  <w:szCs w:val="21"/>
                </w:rPr>
                <w:t>Legal Issues of Economic Integration</w:t>
              </w:r>
            </w:hyperlink>
          </w:p>
          <w:p w14:paraId="319C13D8" w14:textId="77777777"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(1974) to current</w:t>
            </w:r>
          </w:p>
          <w:p w14:paraId="4BB224C7" w14:textId="77777777" w:rsidR="000C5249" w:rsidRPr="000A486B" w:rsidRDefault="000C5249" w:rsidP="00DA294A">
            <w:pPr>
              <w:jc w:val="both"/>
              <w:rPr>
                <w:rFonts w:asciiTheme="minorHAnsi" w:hAnsiTheme="minorHAnsi"/>
                <w:b/>
                <w:lang w:val="en-US"/>
              </w:rPr>
            </w:pPr>
          </w:p>
          <w:p w14:paraId="0C39C1EF" w14:textId="77777777" w:rsidR="000C5249" w:rsidRPr="000A486B" w:rsidRDefault="000C5249" w:rsidP="00DA294A">
            <w:pPr>
              <w:jc w:val="both"/>
              <w:rPr>
                <w:rFonts w:asciiTheme="minorHAnsi" w:hAnsiTheme="minorHAnsi"/>
                <w:b/>
                <w:lang w:val="en-US"/>
              </w:rPr>
            </w:pPr>
          </w:p>
          <w:p w14:paraId="1ED1A6EC" w14:textId="77777777" w:rsidR="00024C75" w:rsidRPr="000A486B" w:rsidRDefault="000C5249"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Websites/Research Guides</w:t>
            </w:r>
            <w:r w:rsidR="00537F30" w:rsidRPr="000A486B">
              <w:rPr>
                <w:rFonts w:asciiTheme="minorHAnsi" w:hAnsiTheme="minorHAnsi"/>
                <w:b/>
                <w:sz w:val="24"/>
                <w:szCs w:val="24"/>
                <w:u w:val="single"/>
                <w:lang w:val="en-US"/>
              </w:rPr>
              <w:t>:</w:t>
            </w:r>
          </w:p>
          <w:p w14:paraId="6BFD6EF1" w14:textId="77777777"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lang w:eastAsia="en-US"/>
              </w:rPr>
            </w:pPr>
            <w:r w:rsidRPr="00213534">
              <w:rPr>
                <w:rFonts w:ascii="Calibri" w:hAnsi="Calibri" w:cs="Calibri"/>
              </w:rPr>
              <w:t>University of Oxford LibGuides - </w:t>
            </w:r>
            <w:hyperlink r:id="rId34" w:tgtFrame="_blank" w:history="1">
              <w:r w:rsidRPr="00213534">
                <w:rPr>
                  <w:rStyle w:val="Hyperlink"/>
                  <w:rFonts w:ascii="Calibri" w:hAnsi="Calibri" w:cs="Calibri"/>
                  <w:b/>
                  <w:bCs/>
                  <w:color w:val="auto"/>
                </w:rPr>
                <w:t>EU Law</w:t>
              </w:r>
            </w:hyperlink>
          </w:p>
          <w:p w14:paraId="74961121" w14:textId="77777777"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rPr>
            </w:pPr>
            <w:r w:rsidRPr="00213534">
              <w:rPr>
                <w:rFonts w:ascii="Calibri" w:hAnsi="Calibri" w:cs="Calibri"/>
              </w:rPr>
              <w:t>Globalex Guides</w:t>
            </w:r>
          </w:p>
          <w:p w14:paraId="3C1C0950" w14:textId="77777777" w:rsidR="00213534" w:rsidRPr="00213534" w:rsidRDefault="000961FB" w:rsidP="00213534">
            <w:pPr>
              <w:numPr>
                <w:ilvl w:val="1"/>
                <w:numId w:val="25"/>
              </w:numPr>
              <w:shd w:val="clear" w:color="auto" w:fill="FFFFFF"/>
              <w:spacing w:before="100" w:beforeAutospacing="1" w:after="100" w:afterAutospacing="1"/>
              <w:rPr>
                <w:rFonts w:ascii="Arial" w:hAnsi="Arial" w:cs="Arial"/>
                <w:sz w:val="21"/>
                <w:szCs w:val="21"/>
              </w:rPr>
            </w:pPr>
            <w:hyperlink r:id="rId35" w:tgtFrame="_blank" w:history="1">
              <w:r w:rsidR="00213534" w:rsidRPr="00213534">
                <w:rPr>
                  <w:rStyle w:val="Hyperlink"/>
                  <w:rFonts w:ascii="Calibri" w:hAnsi="Calibri" w:cs="Calibri"/>
                  <w:b/>
                  <w:bCs/>
                  <w:color w:val="auto"/>
                </w:rPr>
                <w:t>European Union Legal Materials: An Infrequent User's Guide</w:t>
              </w:r>
            </w:hyperlink>
            <w:r w:rsidR="00213534" w:rsidRPr="00213534">
              <w:rPr>
                <w:rFonts w:ascii="Calibri" w:hAnsi="Calibri" w:cs="Calibri"/>
              </w:rPr>
              <w:t> </w:t>
            </w:r>
          </w:p>
          <w:p w14:paraId="1A9E1250" w14:textId="77777777" w:rsidR="00213534" w:rsidRPr="00213534" w:rsidRDefault="000961FB" w:rsidP="00213534">
            <w:pPr>
              <w:numPr>
                <w:ilvl w:val="1"/>
                <w:numId w:val="25"/>
              </w:numPr>
              <w:shd w:val="clear" w:color="auto" w:fill="FFFFFF"/>
              <w:spacing w:before="100" w:beforeAutospacing="1" w:after="100" w:afterAutospacing="1"/>
              <w:rPr>
                <w:rFonts w:ascii="Arial" w:hAnsi="Arial" w:cs="Arial"/>
                <w:sz w:val="21"/>
                <w:szCs w:val="21"/>
              </w:rPr>
            </w:pPr>
            <w:hyperlink r:id="rId36" w:tgtFrame="_blank" w:history="1">
              <w:r w:rsidR="00213534" w:rsidRPr="00213534">
                <w:rPr>
                  <w:rStyle w:val="Hyperlink"/>
                  <w:rFonts w:ascii="Calibri" w:hAnsi="Calibri" w:cs="Calibri"/>
                  <w:b/>
                  <w:bCs/>
                  <w:color w:val="auto"/>
                </w:rPr>
                <w:t>European Union: A Guide to Tracing Working Documents</w:t>
              </w:r>
            </w:hyperlink>
            <w:r w:rsidR="00213534" w:rsidRPr="00213534">
              <w:rPr>
                <w:rFonts w:ascii="Calibri" w:hAnsi="Calibri" w:cs="Calibri"/>
              </w:rPr>
              <w:t> </w:t>
            </w:r>
          </w:p>
          <w:p w14:paraId="3D314F25" w14:textId="77777777" w:rsidR="00213534" w:rsidRPr="00213534" w:rsidRDefault="000961FB" w:rsidP="00213534">
            <w:pPr>
              <w:pStyle w:val="NormalWeb"/>
              <w:numPr>
                <w:ilvl w:val="0"/>
                <w:numId w:val="25"/>
              </w:numPr>
              <w:shd w:val="clear" w:color="auto" w:fill="FFFFFF"/>
              <w:spacing w:before="0" w:beforeAutospacing="0" w:after="150" w:afterAutospacing="0"/>
              <w:rPr>
                <w:rFonts w:ascii="Arial" w:hAnsi="Arial" w:cs="Arial"/>
                <w:sz w:val="21"/>
                <w:szCs w:val="21"/>
              </w:rPr>
            </w:pPr>
            <w:hyperlink r:id="rId37"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14:paraId="27B60E3E" w14:textId="77777777" w:rsidR="00213534" w:rsidRPr="00213534" w:rsidRDefault="000961FB" w:rsidP="00213534">
            <w:pPr>
              <w:numPr>
                <w:ilvl w:val="0"/>
                <w:numId w:val="25"/>
              </w:numPr>
              <w:shd w:val="clear" w:color="auto" w:fill="FFFFFF"/>
              <w:spacing w:before="100" w:beforeAutospacing="1" w:after="100" w:afterAutospacing="1"/>
              <w:rPr>
                <w:rFonts w:ascii="Arial" w:hAnsi="Arial" w:cs="Arial"/>
                <w:sz w:val="21"/>
                <w:szCs w:val="21"/>
              </w:rPr>
            </w:pPr>
            <w:hyperlink r:id="rId38" w:tgtFrame="_blank" w:history="1">
              <w:r w:rsidR="00213534" w:rsidRPr="00213534">
                <w:rPr>
                  <w:rStyle w:val="Hyperlink"/>
                  <w:rFonts w:ascii="Calibri" w:hAnsi="Calibri" w:cs="Calibri"/>
                  <w:b/>
                  <w:bCs/>
                  <w:color w:val="auto"/>
                </w:rPr>
                <w:t>ASIL Electronic Resource Guide: European Union</w:t>
              </w:r>
            </w:hyperlink>
          </w:p>
          <w:p w14:paraId="0E4D2529" w14:textId="77777777" w:rsidR="000C5249" w:rsidRPr="00213534" w:rsidRDefault="000C5249" w:rsidP="00213534">
            <w:pPr>
              <w:jc w:val="both"/>
              <w:rPr>
                <w:rFonts w:asciiTheme="minorHAnsi" w:hAnsiTheme="minorHAnsi"/>
              </w:rPr>
            </w:pPr>
          </w:p>
          <w:p w14:paraId="4097580E" w14:textId="77777777" w:rsidR="008C7E31" w:rsidRPr="000A486B" w:rsidRDefault="008C7E31" w:rsidP="00E60C57">
            <w:pPr>
              <w:jc w:val="both"/>
              <w:rPr>
                <w:rFonts w:asciiTheme="minorHAnsi" w:hAnsiTheme="minorHAnsi"/>
                <w:b/>
                <w:lang w:val="en-US"/>
              </w:rPr>
            </w:pPr>
          </w:p>
        </w:tc>
      </w:tr>
    </w:tbl>
    <w:p w14:paraId="44925E09" w14:textId="77777777" w:rsidR="0005073B" w:rsidRPr="000A486B" w:rsidRDefault="0005073B" w:rsidP="009E7415">
      <w:pPr>
        <w:rPr>
          <w:rFonts w:ascii="Calibri" w:hAnsi="Calibri"/>
          <w:b/>
          <w:caps/>
          <w:szCs w:val="28"/>
        </w:rPr>
      </w:pPr>
    </w:p>
    <w:p w14:paraId="3E2E4A33" w14:textId="77777777" w:rsidR="00537543" w:rsidRPr="000A486B" w:rsidRDefault="009E7415" w:rsidP="00213534">
      <w:pPr>
        <w:tabs>
          <w:tab w:val="left" w:pos="0"/>
          <w:tab w:val="left" w:pos="3600"/>
          <w:tab w:val="left" w:pos="5220"/>
        </w:tabs>
        <w:spacing w:line="260" w:lineRule="exact"/>
        <w:rPr>
          <w:rFonts w:ascii="Calibri" w:hAnsi="Calibri"/>
          <w:b/>
          <w:caps/>
          <w:lang w:eastAsia="en-GB"/>
        </w:rPr>
      </w:pPr>
      <w:r w:rsidRPr="000A486B">
        <w:rPr>
          <w:rFonts w:ascii="Calibri" w:hAnsi="Calibr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0A486B" w14:paraId="2F29DF9E" w14:textId="77777777" w:rsidTr="00537543">
        <w:tc>
          <w:tcPr>
            <w:tcW w:w="10740" w:type="dxa"/>
            <w:shd w:val="clear" w:color="auto" w:fill="17365D" w:themeFill="text2" w:themeFillShade="BF"/>
          </w:tcPr>
          <w:p w14:paraId="10E15295" w14:textId="77777777"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br w:type="column"/>
            </w:r>
            <w:r w:rsidR="00537543" w:rsidRPr="000A486B">
              <w:rPr>
                <w:rFonts w:ascii="Calibri" w:hAnsi="Calibri"/>
                <w:b/>
                <w:caps/>
                <w:lang w:val="en-US"/>
              </w:rPr>
              <w:t>course regulations</w:t>
            </w:r>
          </w:p>
        </w:tc>
      </w:tr>
    </w:tbl>
    <w:p w14:paraId="747480CB" w14:textId="77777777" w:rsidR="00537543" w:rsidRPr="000A486B" w:rsidRDefault="00537543" w:rsidP="00E308A8">
      <w:pPr>
        <w:autoSpaceDE w:val="0"/>
        <w:autoSpaceDN w:val="0"/>
        <w:adjustRightInd w:val="0"/>
        <w:jc w:val="both"/>
        <w:rPr>
          <w:rFonts w:ascii="Calibri" w:hAnsi="Calibri"/>
          <w:b/>
          <w:color w:val="000000"/>
          <w:u w:val="single"/>
        </w:rPr>
      </w:pPr>
      <w:r w:rsidRPr="000A486B">
        <w:rPr>
          <w:rFonts w:ascii="Calibri" w:hAnsi="Calibri"/>
          <w:b/>
          <w:color w:val="000000"/>
          <w:u w:val="single"/>
        </w:rPr>
        <w:br/>
        <w:t>Participation</w:t>
      </w:r>
    </w:p>
    <w:p w14:paraId="347DE821" w14:textId="77777777" w:rsidR="00E308A8" w:rsidRPr="000A486B" w:rsidRDefault="00E308A8" w:rsidP="00E308A8">
      <w:pPr>
        <w:autoSpaceDE w:val="0"/>
        <w:autoSpaceDN w:val="0"/>
        <w:adjustRightInd w:val="0"/>
        <w:jc w:val="both"/>
        <w:rPr>
          <w:rFonts w:ascii="Calibri" w:hAnsi="Calibri"/>
          <w:color w:val="000000"/>
        </w:rPr>
      </w:pPr>
    </w:p>
    <w:p w14:paraId="5D3F018B" w14:textId="77777777" w:rsidR="00537543" w:rsidRPr="000A486B" w:rsidRDefault="00537543" w:rsidP="000A486B">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during a semester. </w:t>
      </w:r>
      <w:r w:rsidRPr="000A486B">
        <w:rPr>
          <w:rFonts w:ascii="Calibri" w:hAnsi="Calibri"/>
          <w:b/>
          <w:bCs/>
          <w:color w:val="000000"/>
        </w:rPr>
        <w:t>Attendance record begins on the first day of class</w:t>
      </w:r>
      <w:r w:rsidR="000A486B">
        <w:rPr>
          <w:rFonts w:ascii="Calibri" w:hAnsi="Calibri"/>
          <w:b/>
          <w:bCs/>
          <w:color w:val="000000"/>
        </w:rPr>
        <w:t>es.</w:t>
      </w:r>
    </w:p>
    <w:p w14:paraId="552B1D3E" w14:textId="77777777" w:rsidR="00537543" w:rsidRPr="000A486B" w:rsidRDefault="00537543" w:rsidP="00E308A8">
      <w:pPr>
        <w:autoSpaceDE w:val="0"/>
        <w:autoSpaceDN w:val="0"/>
        <w:adjustRightInd w:val="0"/>
        <w:rPr>
          <w:rFonts w:ascii="Calibri" w:hAnsi="Calibri"/>
          <w:color w:val="000000"/>
        </w:rPr>
      </w:pPr>
    </w:p>
    <w:p w14:paraId="720DB501" w14:textId="77777777" w:rsidR="00537543" w:rsidRPr="000A486B"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14:paraId="12E5CD45" w14:textId="77777777" w:rsidR="004011DA" w:rsidRPr="000A486B" w:rsidRDefault="004011DA" w:rsidP="00A97310">
      <w:pPr>
        <w:rPr>
          <w:rFonts w:ascii="Calibri" w:hAnsi="Calibri"/>
          <w:color w:val="000000"/>
        </w:rPr>
      </w:pPr>
    </w:p>
    <w:p w14:paraId="150084BE" w14:textId="77777777" w:rsidR="008C3484" w:rsidRPr="000A486B" w:rsidRDefault="008C3484" w:rsidP="00CB7636">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14:paraId="74751242" w14:textId="77777777" w:rsidTr="00C93894">
        <w:tc>
          <w:tcPr>
            <w:tcW w:w="10852" w:type="dxa"/>
            <w:shd w:val="clear" w:color="auto" w:fill="17365D" w:themeFill="text2" w:themeFillShade="BF"/>
          </w:tcPr>
          <w:p w14:paraId="4FF13B19" w14:textId="77777777"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402"/>
        <w:gridCol w:w="1800"/>
        <w:gridCol w:w="7650"/>
      </w:tblGrid>
      <w:tr w:rsidR="00846441" w:rsidRPr="000A486B" w14:paraId="7043D34A" w14:textId="77777777" w:rsidTr="00846441">
        <w:trPr>
          <w:cnfStyle w:val="100000000000" w:firstRow="1" w:lastRow="0" w:firstColumn="0" w:lastColumn="0" w:oddVBand="0" w:evenVBand="0" w:oddHBand="0" w:evenHBand="0" w:firstRowFirstColumn="0" w:firstRowLastColumn="0" w:lastRowFirstColumn="0" w:lastRowLastColumn="0"/>
        </w:trPr>
        <w:tc>
          <w:tcPr>
            <w:tcW w:w="1402" w:type="dxa"/>
          </w:tcPr>
          <w:p w14:paraId="4A4A688F" w14:textId="77777777" w:rsidR="00846441" w:rsidRPr="000A486B" w:rsidRDefault="00846441" w:rsidP="00846441">
            <w:pPr>
              <w:ind w:left="-56"/>
              <w:jc w:val="center"/>
              <w:rPr>
                <w:rFonts w:asciiTheme="minorHAnsi" w:hAnsiTheme="minorHAnsi"/>
                <w:caps/>
                <w:lang w:val="en-US"/>
              </w:rPr>
            </w:pPr>
            <w:r w:rsidRPr="000A486B">
              <w:rPr>
                <w:rFonts w:asciiTheme="minorHAnsi" w:hAnsiTheme="minorHAnsi"/>
                <w:caps/>
                <w:lang w:val="en-US"/>
              </w:rPr>
              <w:t xml:space="preserve">WEEK </w:t>
            </w:r>
          </w:p>
        </w:tc>
        <w:tc>
          <w:tcPr>
            <w:tcW w:w="1800" w:type="dxa"/>
          </w:tcPr>
          <w:p w14:paraId="239A1616" w14:textId="77777777"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class TOPICs</w:t>
            </w:r>
          </w:p>
        </w:tc>
        <w:tc>
          <w:tcPr>
            <w:tcW w:w="7650" w:type="dxa"/>
          </w:tcPr>
          <w:p w14:paraId="694DFF30" w14:textId="77777777" w:rsidR="00846441" w:rsidRPr="000A486B" w:rsidRDefault="00990ACC" w:rsidP="00846441">
            <w:pPr>
              <w:jc w:val="center"/>
              <w:rPr>
                <w:rFonts w:asciiTheme="minorHAnsi" w:hAnsiTheme="minorHAnsi"/>
                <w:caps/>
                <w:lang w:val="en-US"/>
              </w:rPr>
            </w:pPr>
            <w:r>
              <w:rPr>
                <w:rFonts w:asciiTheme="minorHAnsi" w:hAnsiTheme="minorHAnsi"/>
                <w:caps/>
                <w:lang w:val="en-US"/>
              </w:rPr>
              <w:t xml:space="preserve">Additional </w:t>
            </w:r>
            <w:r w:rsidR="00846441" w:rsidRPr="000A486B">
              <w:rPr>
                <w:rFonts w:asciiTheme="minorHAnsi" w:hAnsiTheme="minorHAnsi"/>
                <w:caps/>
                <w:lang w:val="en-US"/>
              </w:rPr>
              <w:t>READINGs</w:t>
            </w:r>
          </w:p>
        </w:tc>
      </w:tr>
      <w:tr w:rsidR="00846441" w:rsidRPr="000A486B" w14:paraId="2BBBBDC0" w14:textId="77777777"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14:paraId="750DAB93" w14:textId="77777777"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t>week 1</w:t>
            </w:r>
          </w:p>
          <w:p w14:paraId="287C239C" w14:textId="77777777" w:rsidR="00036D31" w:rsidRPr="000A486B" w:rsidRDefault="00036D31" w:rsidP="00846441">
            <w:pPr>
              <w:ind w:left="34"/>
              <w:jc w:val="center"/>
              <w:rPr>
                <w:rFonts w:asciiTheme="minorHAnsi" w:hAnsiTheme="minorHAnsi" w:cstheme="minorHAnsi"/>
                <w:caps/>
                <w:highlight w:val="yellow"/>
                <w:lang w:val="en-US"/>
              </w:rPr>
            </w:pPr>
          </w:p>
        </w:tc>
        <w:tc>
          <w:tcPr>
            <w:tcW w:w="1800" w:type="dxa"/>
            <w:vAlign w:val="center"/>
          </w:tcPr>
          <w:p w14:paraId="3D6EDF3B" w14:textId="77777777" w:rsidR="00846441" w:rsidRPr="000A486B" w:rsidRDefault="00990ACC" w:rsidP="004710EC">
            <w:pPr>
              <w:rPr>
                <w:rFonts w:asciiTheme="minorHAnsi" w:hAnsiTheme="minorHAnsi" w:cstheme="minorHAnsi"/>
                <w:bCs/>
                <w:lang w:val="en-US"/>
              </w:rPr>
            </w:pPr>
            <w:r>
              <w:rPr>
                <w:rFonts w:asciiTheme="minorHAnsi" w:hAnsiTheme="minorHAnsi" w:cstheme="minorHAnsi"/>
                <w:bCs/>
                <w:lang w:val="en-US"/>
              </w:rPr>
              <w:t xml:space="preserve">Introduction to EU Institutions: </w:t>
            </w:r>
            <w:r w:rsidR="00BD1599" w:rsidRPr="00BD1599">
              <w:rPr>
                <w:rFonts w:asciiTheme="minorHAnsi" w:hAnsiTheme="minorHAnsi" w:cstheme="minorHAnsi"/>
                <w:bCs/>
                <w:lang w:val="en-US"/>
              </w:rPr>
              <w:t>The European Council, the Commission and the Council</w:t>
            </w:r>
          </w:p>
        </w:tc>
        <w:tc>
          <w:tcPr>
            <w:tcW w:w="7650" w:type="dxa"/>
          </w:tcPr>
          <w:p w14:paraId="61769FD1" w14:textId="77777777" w:rsidR="00846441" w:rsidRPr="00990ACC" w:rsidRDefault="00BD1599" w:rsidP="00990ACC">
            <w:pPr>
              <w:shd w:val="clear" w:color="auto" w:fill="F4F4F4"/>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Additional r</w:t>
            </w:r>
            <w:r w:rsidR="00804079" w:rsidRPr="00990ACC">
              <w:rPr>
                <w:rFonts w:asciiTheme="minorHAnsi" w:hAnsiTheme="minorHAnsi"/>
                <w:color w:val="111111"/>
                <w:u w:val="single"/>
                <w:bdr w:val="none" w:sz="0" w:space="0" w:color="auto" w:frame="1"/>
                <w:lang w:val="en-US"/>
              </w:rPr>
              <w:t>eadings</w:t>
            </w:r>
            <w:r w:rsidR="00B16B5D" w:rsidRPr="00990ACC">
              <w:rPr>
                <w:rFonts w:asciiTheme="minorHAnsi" w:hAnsiTheme="minorHAnsi"/>
                <w:color w:val="111111"/>
                <w:u w:val="single"/>
                <w:bdr w:val="none" w:sz="0" w:space="0" w:color="auto" w:frame="1"/>
                <w:lang w:val="en-US"/>
              </w:rPr>
              <w:t>:</w:t>
            </w:r>
          </w:p>
          <w:p w14:paraId="1EDDF669" w14:textId="77777777" w:rsidR="00E9293F" w:rsidRPr="00990ACC" w:rsidRDefault="00E9293F" w:rsidP="00990ACC">
            <w:pPr>
              <w:shd w:val="clear" w:color="auto" w:fill="F4F4F4"/>
              <w:rPr>
                <w:rFonts w:asciiTheme="minorHAnsi" w:hAnsiTheme="minorHAnsi"/>
                <w:color w:val="111111"/>
                <w:u w:val="single"/>
                <w:bdr w:val="none" w:sz="0" w:space="0" w:color="auto" w:frame="1"/>
                <w:lang w:val="en-US"/>
              </w:rPr>
            </w:pPr>
          </w:p>
          <w:p w14:paraId="4442D9AF" w14:textId="77777777" w:rsidR="00E9293F" w:rsidRPr="00990ACC" w:rsidRDefault="00E9293F" w:rsidP="00990ACC">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990ACC">
              <w:rPr>
                <w:rFonts w:asciiTheme="minorHAnsi" w:hAnsiTheme="minorHAnsi"/>
                <w:color w:val="111111"/>
                <w:sz w:val="24"/>
                <w:szCs w:val="24"/>
                <w:bdr w:val="none" w:sz="0" w:space="0" w:color="auto" w:frame="1"/>
                <w:lang w:val="en-US"/>
              </w:rPr>
              <w:t xml:space="preserve">A. Schout and A. Nunes, </w:t>
            </w:r>
            <w:r w:rsidRPr="00990ACC">
              <w:rPr>
                <w:rFonts w:asciiTheme="minorHAnsi" w:hAnsiTheme="minorHAnsi"/>
                <w:i/>
                <w:iCs/>
                <w:color w:val="111111"/>
                <w:sz w:val="24"/>
                <w:szCs w:val="24"/>
                <w:bdr w:val="none" w:sz="0" w:space="0" w:color="auto" w:frame="1"/>
                <w:lang w:val="en-US"/>
              </w:rPr>
              <w:t>The European Commission in Balance? Ambition, Organisation and Power</w:t>
            </w:r>
            <w:r w:rsidR="00BD1599" w:rsidRPr="00990ACC">
              <w:rPr>
                <w:rFonts w:asciiTheme="minorHAnsi" w:hAnsiTheme="minorHAnsi"/>
                <w:color w:val="111111"/>
                <w:sz w:val="24"/>
                <w:szCs w:val="24"/>
                <w:bdr w:val="none" w:sz="0" w:space="0" w:color="auto" w:frame="1"/>
                <w:lang w:val="en-US"/>
              </w:rPr>
              <w:t>, Clingendael</w:t>
            </w:r>
            <w:r w:rsidRPr="00990ACC">
              <w:rPr>
                <w:rFonts w:asciiTheme="minorHAnsi" w:hAnsiTheme="minorHAnsi"/>
                <w:color w:val="111111"/>
                <w:sz w:val="24"/>
                <w:szCs w:val="24"/>
                <w:bdr w:val="none" w:sz="0" w:space="0" w:color="auto" w:frame="1"/>
                <w:lang w:val="en-US"/>
              </w:rPr>
              <w:t xml:space="preserve">, 2019: </w:t>
            </w:r>
            <w:hyperlink r:id="rId39" w:history="1">
              <w:r w:rsidRPr="00990ACC">
                <w:rPr>
                  <w:rStyle w:val="Hyperlink"/>
                  <w:rFonts w:asciiTheme="minorHAnsi" w:hAnsiTheme="minorHAnsi"/>
                  <w:sz w:val="24"/>
                  <w:szCs w:val="24"/>
                  <w:u w:val="none"/>
                  <w:bdr w:val="none" w:sz="0" w:space="0" w:color="auto" w:frame="1"/>
                  <w:lang w:val="en-US"/>
                </w:rPr>
                <w:t>https://www.clingendael.org/sites/default/files/2019-11/The_European_Commission_in_Balance_October_2019.pdf</w:t>
              </w:r>
            </w:hyperlink>
            <w:r w:rsidRPr="00990ACC">
              <w:rPr>
                <w:rFonts w:asciiTheme="minorHAnsi" w:hAnsiTheme="minorHAnsi"/>
                <w:color w:val="111111"/>
                <w:sz w:val="24"/>
                <w:szCs w:val="24"/>
                <w:bdr w:val="none" w:sz="0" w:space="0" w:color="auto" w:frame="1"/>
                <w:lang w:val="en-US"/>
              </w:rPr>
              <w:t xml:space="preserve"> </w:t>
            </w:r>
          </w:p>
          <w:p w14:paraId="53A5E99C" w14:textId="77777777" w:rsidR="00E9293F" w:rsidRPr="00990ACC" w:rsidRDefault="00E9293F" w:rsidP="00990ACC">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990ACC">
              <w:rPr>
                <w:rFonts w:asciiTheme="minorHAnsi" w:hAnsiTheme="minorHAnsi"/>
                <w:color w:val="111111"/>
                <w:sz w:val="24"/>
                <w:szCs w:val="24"/>
                <w:bdr w:val="none" w:sz="0" w:space="0" w:color="auto" w:frame="1"/>
                <w:lang w:val="en-US"/>
              </w:rPr>
              <w:t xml:space="preserve">F. Hayes-Renshaw, “The European Council and the Council of Ministers”, in </w:t>
            </w:r>
            <w:r w:rsidRPr="00990ACC">
              <w:rPr>
                <w:rFonts w:asciiTheme="minorHAnsi" w:hAnsiTheme="minorHAnsi"/>
                <w:i/>
                <w:iCs/>
                <w:color w:val="111111"/>
                <w:sz w:val="24"/>
                <w:szCs w:val="24"/>
                <w:bdr w:val="none" w:sz="0" w:space="0" w:color="auto" w:frame="1"/>
                <w:lang w:val="en-US"/>
              </w:rPr>
              <w:t>Developments in the European Union</w:t>
            </w:r>
            <w:r w:rsidRPr="00990ACC">
              <w:rPr>
                <w:rFonts w:asciiTheme="minorHAnsi" w:hAnsiTheme="minorHAnsi"/>
                <w:color w:val="111111"/>
                <w:sz w:val="24"/>
                <w:szCs w:val="24"/>
                <w:bdr w:val="none" w:sz="0" w:space="0" w:color="auto" w:frame="1"/>
                <w:lang w:val="en-US"/>
              </w:rPr>
              <w:t xml:space="preserve">, </w:t>
            </w:r>
            <w:r w:rsidR="003014B5" w:rsidRPr="00990ACC">
              <w:rPr>
                <w:rFonts w:asciiTheme="minorHAnsi" w:hAnsiTheme="minorHAnsi"/>
                <w:color w:val="111111"/>
                <w:sz w:val="24"/>
                <w:szCs w:val="24"/>
                <w:bdr w:val="none" w:sz="0" w:space="0" w:color="auto" w:frame="1"/>
                <w:lang w:val="en-US"/>
              </w:rPr>
              <w:t xml:space="preserve">St. Martin’s Press, 1999, </w:t>
            </w:r>
            <w:r w:rsidRPr="00990ACC">
              <w:rPr>
                <w:rFonts w:asciiTheme="minorHAnsi" w:hAnsiTheme="minorHAnsi"/>
                <w:color w:val="111111"/>
                <w:sz w:val="24"/>
                <w:szCs w:val="24"/>
                <w:bdr w:val="none" w:sz="0" w:space="0" w:color="auto" w:frame="1"/>
                <w:lang w:val="en-US"/>
              </w:rPr>
              <w:t>pp. 23-43</w:t>
            </w:r>
            <w:r w:rsidR="003014B5" w:rsidRPr="00990ACC">
              <w:rPr>
                <w:rFonts w:asciiTheme="minorHAnsi" w:hAnsiTheme="minorHAnsi"/>
                <w:color w:val="111111"/>
                <w:sz w:val="24"/>
                <w:szCs w:val="24"/>
                <w:bdr w:val="none" w:sz="0" w:space="0" w:color="auto" w:frame="1"/>
                <w:lang w:val="en-US"/>
              </w:rPr>
              <w:t>.</w:t>
            </w:r>
          </w:p>
          <w:p w14:paraId="1EFFFA1D" w14:textId="77777777" w:rsidR="00B16B5D" w:rsidRPr="00990ACC" w:rsidRDefault="00B16B5D" w:rsidP="00990ACC">
            <w:pPr>
              <w:shd w:val="clear" w:color="auto" w:fill="F4F4F4"/>
              <w:rPr>
                <w:rFonts w:asciiTheme="minorHAnsi" w:hAnsiTheme="minorHAnsi"/>
                <w:color w:val="111111"/>
                <w:u w:val="single"/>
                <w:bdr w:val="none" w:sz="0" w:space="0" w:color="auto" w:frame="1"/>
                <w:lang w:val="en-US"/>
              </w:rPr>
            </w:pPr>
          </w:p>
          <w:p w14:paraId="5D2AE859" w14:textId="77777777" w:rsidR="00702B90" w:rsidRPr="00990ACC" w:rsidRDefault="00702B90" w:rsidP="00990ACC">
            <w:pPr>
              <w:shd w:val="clear" w:color="auto" w:fill="F4F4F4"/>
              <w:rPr>
                <w:rFonts w:asciiTheme="minorHAnsi" w:hAnsiTheme="minorHAnsi"/>
                <w:color w:val="111111"/>
                <w:bdr w:val="none" w:sz="0" w:space="0" w:color="auto" w:frame="1"/>
                <w:lang w:val="en-US"/>
              </w:rPr>
            </w:pPr>
          </w:p>
          <w:p w14:paraId="522098EA" w14:textId="77777777" w:rsidR="00702B90" w:rsidRPr="00990ACC" w:rsidRDefault="00804079" w:rsidP="00990ACC">
            <w:pPr>
              <w:shd w:val="clear" w:color="auto" w:fill="F4F4F4"/>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 xml:space="preserve">Videos: </w:t>
            </w:r>
          </w:p>
          <w:p w14:paraId="47972924" w14:textId="77777777" w:rsidR="003014B5" w:rsidRPr="00990ACC" w:rsidRDefault="003014B5" w:rsidP="00990ACC">
            <w:pPr>
              <w:shd w:val="clear" w:color="auto" w:fill="F4F4F4"/>
              <w:rPr>
                <w:rFonts w:asciiTheme="minorHAnsi" w:hAnsiTheme="minorHAnsi"/>
                <w:color w:val="111111"/>
                <w:u w:val="single"/>
                <w:bdr w:val="none" w:sz="0" w:space="0" w:color="auto" w:frame="1"/>
                <w:lang w:val="en-US"/>
              </w:rPr>
            </w:pPr>
          </w:p>
          <w:p w14:paraId="0D1225A5" w14:textId="77777777" w:rsidR="003014B5" w:rsidRPr="00990ACC" w:rsidRDefault="003014B5" w:rsidP="00990ACC">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990ACC">
              <w:rPr>
                <w:rFonts w:asciiTheme="minorHAnsi" w:hAnsiTheme="minorHAnsi"/>
                <w:color w:val="111111"/>
                <w:sz w:val="24"/>
                <w:szCs w:val="24"/>
                <w:bdr w:val="none" w:sz="0" w:space="0" w:color="auto" w:frame="1"/>
                <w:lang w:val="en-US"/>
              </w:rPr>
              <w:t xml:space="preserve">The EU institutions explained by their Presidents: </w:t>
            </w:r>
            <w:hyperlink r:id="rId40" w:history="1">
              <w:r w:rsidRPr="00990ACC">
                <w:rPr>
                  <w:rStyle w:val="Hyperlink"/>
                  <w:rFonts w:asciiTheme="minorHAnsi" w:hAnsiTheme="minorHAnsi"/>
                  <w:sz w:val="24"/>
                  <w:szCs w:val="24"/>
                  <w:bdr w:val="none" w:sz="0" w:space="0" w:color="auto" w:frame="1"/>
                  <w:lang w:val="en-US"/>
                </w:rPr>
                <w:t>https://www.youtube.com/watch?v=d0diZ48_q7U</w:t>
              </w:r>
            </w:hyperlink>
            <w:r w:rsidRPr="00990ACC">
              <w:rPr>
                <w:rFonts w:asciiTheme="minorHAnsi" w:hAnsiTheme="minorHAnsi"/>
                <w:color w:val="111111"/>
                <w:sz w:val="24"/>
                <w:szCs w:val="24"/>
                <w:bdr w:val="none" w:sz="0" w:space="0" w:color="auto" w:frame="1"/>
                <w:lang w:val="en-US"/>
              </w:rPr>
              <w:t xml:space="preserve"> </w:t>
            </w:r>
          </w:p>
          <w:p w14:paraId="0C3ADD12" w14:textId="77777777" w:rsidR="003014B5" w:rsidRPr="00990ACC" w:rsidRDefault="003014B5" w:rsidP="00990ACC">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990ACC">
              <w:rPr>
                <w:rFonts w:asciiTheme="minorHAnsi" w:hAnsiTheme="minorHAnsi"/>
                <w:color w:val="111111"/>
                <w:sz w:val="24"/>
                <w:szCs w:val="24"/>
                <w:bdr w:val="none" w:sz="0" w:space="0" w:color="auto" w:frame="1"/>
                <w:lang w:val="en-US"/>
              </w:rPr>
              <w:t xml:space="preserve">The EU Council of Ministers explained: </w:t>
            </w:r>
            <w:hyperlink r:id="rId41" w:history="1">
              <w:r w:rsidRPr="00990ACC">
                <w:rPr>
                  <w:rStyle w:val="Hyperlink"/>
                  <w:rFonts w:asciiTheme="minorHAnsi" w:hAnsiTheme="minorHAnsi"/>
                  <w:sz w:val="24"/>
                  <w:szCs w:val="24"/>
                  <w:bdr w:val="none" w:sz="0" w:space="0" w:color="auto" w:frame="1"/>
                  <w:lang w:val="en-US"/>
                </w:rPr>
                <w:t>https://www.youtube.com/watch?v=K-cRJr7mWw4</w:t>
              </w:r>
            </w:hyperlink>
            <w:r w:rsidRPr="00990ACC">
              <w:rPr>
                <w:rFonts w:asciiTheme="minorHAnsi" w:hAnsiTheme="minorHAnsi"/>
                <w:color w:val="111111"/>
                <w:sz w:val="24"/>
                <w:szCs w:val="24"/>
                <w:bdr w:val="none" w:sz="0" w:space="0" w:color="auto" w:frame="1"/>
                <w:lang w:val="en-US"/>
              </w:rPr>
              <w:t xml:space="preserve"> </w:t>
            </w:r>
          </w:p>
          <w:p w14:paraId="493FC2DF" w14:textId="77777777" w:rsidR="003014B5" w:rsidRPr="00990ACC" w:rsidRDefault="003014B5" w:rsidP="00990ACC">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990ACC">
              <w:rPr>
                <w:rFonts w:asciiTheme="minorHAnsi" w:hAnsiTheme="minorHAnsi"/>
                <w:color w:val="111111"/>
                <w:sz w:val="24"/>
                <w:szCs w:val="24"/>
                <w:bdr w:val="none" w:sz="0" w:space="0" w:color="auto" w:frame="1"/>
                <w:lang w:val="en-US"/>
              </w:rPr>
              <w:t>The</w:t>
            </w:r>
            <w:r w:rsidR="00BD1599" w:rsidRPr="00990ACC">
              <w:rPr>
                <w:rFonts w:asciiTheme="minorHAnsi" w:hAnsiTheme="minorHAnsi"/>
                <w:color w:val="111111"/>
                <w:sz w:val="24"/>
                <w:szCs w:val="24"/>
                <w:bdr w:val="none" w:sz="0" w:space="0" w:color="auto" w:frame="1"/>
                <w:lang w:val="en-US"/>
              </w:rPr>
              <w:t xml:space="preserve"> European Commission explained: </w:t>
            </w:r>
            <w:hyperlink r:id="rId42" w:history="1">
              <w:r w:rsidRPr="00990ACC">
                <w:rPr>
                  <w:rStyle w:val="Hyperlink"/>
                  <w:rFonts w:asciiTheme="minorHAnsi" w:hAnsiTheme="minorHAnsi"/>
                  <w:sz w:val="24"/>
                  <w:szCs w:val="24"/>
                  <w:bdr w:val="none" w:sz="0" w:space="0" w:color="auto" w:frame="1"/>
                  <w:lang w:val="en-US"/>
                </w:rPr>
                <w:t>https://www.youtube.com/watch?v=nWpgO1EPO_Y</w:t>
              </w:r>
            </w:hyperlink>
            <w:r w:rsidRPr="00990ACC">
              <w:rPr>
                <w:rFonts w:asciiTheme="minorHAnsi" w:hAnsiTheme="minorHAnsi"/>
                <w:color w:val="111111"/>
                <w:sz w:val="24"/>
                <w:szCs w:val="24"/>
                <w:bdr w:val="none" w:sz="0" w:space="0" w:color="auto" w:frame="1"/>
                <w:lang w:val="en-US"/>
              </w:rPr>
              <w:t xml:space="preserve"> </w:t>
            </w:r>
          </w:p>
          <w:p w14:paraId="2E23BBDB" w14:textId="77777777" w:rsidR="00702B90" w:rsidRPr="00990ACC" w:rsidRDefault="00702B90" w:rsidP="00990ACC">
            <w:pPr>
              <w:shd w:val="clear" w:color="auto" w:fill="F4F4F4"/>
              <w:rPr>
                <w:rFonts w:asciiTheme="minorHAnsi" w:hAnsiTheme="minorHAnsi"/>
                <w:color w:val="111111"/>
                <w:bdr w:val="none" w:sz="0" w:space="0" w:color="auto" w:frame="1"/>
                <w:lang w:val="en-US"/>
              </w:rPr>
            </w:pPr>
          </w:p>
          <w:p w14:paraId="2BEA880B" w14:textId="77777777" w:rsidR="00702B90" w:rsidRPr="00990ACC" w:rsidRDefault="00702B90" w:rsidP="00990ACC">
            <w:pPr>
              <w:shd w:val="clear" w:color="auto" w:fill="F4F4F4"/>
              <w:rPr>
                <w:rFonts w:asciiTheme="minorHAnsi" w:hAnsiTheme="minorHAnsi"/>
                <w:color w:val="111111"/>
                <w:bdr w:val="none" w:sz="0" w:space="0" w:color="auto" w:frame="1"/>
                <w:lang w:val="en-US"/>
              </w:rPr>
            </w:pPr>
          </w:p>
          <w:p w14:paraId="5F71CC69" w14:textId="77777777" w:rsidR="00846441" w:rsidRPr="00990ACC" w:rsidRDefault="009F05F7" w:rsidP="00990ACC">
            <w:pPr>
              <w:shd w:val="clear" w:color="auto" w:fill="F4F4F4"/>
              <w:rPr>
                <w:rFonts w:asciiTheme="minorHAnsi" w:hAnsiTheme="minorHAnsi" w:cs="Helvetica"/>
                <w:color w:val="111111"/>
                <w:lang w:val="en-US"/>
              </w:rPr>
            </w:pPr>
            <w:r w:rsidRPr="00990ACC">
              <w:rPr>
                <w:rFonts w:asciiTheme="minorHAnsi" w:hAnsiTheme="minorHAnsi"/>
                <w:color w:val="111111"/>
                <w:bdr w:val="none" w:sz="0" w:space="0" w:color="auto" w:frame="1"/>
                <w:lang w:val="en-US"/>
              </w:rPr>
              <w:t xml:space="preserve"> </w:t>
            </w:r>
          </w:p>
        </w:tc>
      </w:tr>
      <w:tr w:rsidR="00846441" w:rsidRPr="000A486B" w14:paraId="1985EDF0" w14:textId="77777777" w:rsidTr="00846441">
        <w:trPr>
          <w:cnfStyle w:val="000000010000" w:firstRow="0" w:lastRow="0" w:firstColumn="0" w:lastColumn="0" w:oddVBand="0" w:evenVBand="0" w:oddHBand="0" w:evenHBand="1" w:firstRowFirstColumn="0" w:firstRowLastColumn="0" w:lastRowFirstColumn="0" w:lastRowLastColumn="0"/>
        </w:trPr>
        <w:tc>
          <w:tcPr>
            <w:tcW w:w="1402" w:type="dxa"/>
            <w:vAlign w:val="center"/>
          </w:tcPr>
          <w:p w14:paraId="5C6B2DEA" w14:textId="77777777"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t>week 2</w:t>
            </w:r>
          </w:p>
          <w:p w14:paraId="16CD4892" w14:textId="77777777" w:rsidR="00036D31" w:rsidRPr="000A486B" w:rsidRDefault="00036D31" w:rsidP="00846441">
            <w:pPr>
              <w:ind w:left="34"/>
              <w:jc w:val="center"/>
              <w:rPr>
                <w:rFonts w:asciiTheme="minorHAnsi" w:hAnsiTheme="minorHAnsi" w:cstheme="minorHAnsi"/>
                <w:b/>
                <w:caps/>
                <w:lang w:val="en-US"/>
              </w:rPr>
            </w:pPr>
          </w:p>
        </w:tc>
        <w:tc>
          <w:tcPr>
            <w:tcW w:w="1800" w:type="dxa"/>
          </w:tcPr>
          <w:p w14:paraId="5C65C55B" w14:textId="77777777" w:rsidR="00990ACC" w:rsidRDefault="00990ACC" w:rsidP="00BD1599">
            <w:pPr>
              <w:ind w:left="16"/>
              <w:rPr>
                <w:rFonts w:asciiTheme="minorHAnsi" w:hAnsiTheme="minorHAnsi" w:cstheme="minorHAnsi"/>
                <w:bCs/>
                <w:lang w:val="en-US"/>
              </w:rPr>
            </w:pPr>
          </w:p>
          <w:p w14:paraId="4751165D" w14:textId="77777777" w:rsidR="00990ACC" w:rsidRDefault="00990ACC" w:rsidP="00BD1599">
            <w:pPr>
              <w:ind w:left="16"/>
              <w:rPr>
                <w:rFonts w:asciiTheme="minorHAnsi" w:hAnsiTheme="minorHAnsi" w:cstheme="minorHAnsi"/>
                <w:bCs/>
                <w:lang w:val="en-US"/>
              </w:rPr>
            </w:pPr>
          </w:p>
          <w:p w14:paraId="0CD3D39E" w14:textId="77777777" w:rsidR="00990ACC" w:rsidRDefault="00990ACC" w:rsidP="00BD1599">
            <w:pPr>
              <w:ind w:left="16"/>
              <w:rPr>
                <w:rFonts w:asciiTheme="minorHAnsi" w:hAnsiTheme="minorHAnsi" w:cstheme="minorHAnsi"/>
                <w:bCs/>
                <w:lang w:val="en-US"/>
              </w:rPr>
            </w:pPr>
          </w:p>
          <w:p w14:paraId="356A021B" w14:textId="77777777" w:rsidR="00990ACC" w:rsidRDefault="00990ACC" w:rsidP="00BD1599">
            <w:pPr>
              <w:ind w:left="16"/>
              <w:rPr>
                <w:rFonts w:asciiTheme="minorHAnsi" w:hAnsiTheme="minorHAnsi" w:cstheme="minorHAnsi"/>
                <w:bCs/>
                <w:lang w:val="en-US"/>
              </w:rPr>
            </w:pPr>
          </w:p>
          <w:p w14:paraId="3EDF9801" w14:textId="77777777" w:rsidR="00846441" w:rsidRPr="000A486B" w:rsidRDefault="00BD1599" w:rsidP="00990ACC">
            <w:pPr>
              <w:rPr>
                <w:rFonts w:asciiTheme="minorHAnsi" w:hAnsiTheme="minorHAnsi" w:cstheme="minorHAnsi"/>
                <w:b/>
                <w:caps/>
                <w:lang w:val="en-US"/>
              </w:rPr>
            </w:pPr>
            <w:r>
              <w:rPr>
                <w:rFonts w:asciiTheme="minorHAnsi" w:hAnsiTheme="minorHAnsi" w:cstheme="minorHAnsi"/>
                <w:bCs/>
                <w:lang w:val="en-US"/>
              </w:rPr>
              <w:lastRenderedPageBreak/>
              <w:t>The European Parliament</w:t>
            </w:r>
            <w:r w:rsidRPr="00BD1599">
              <w:rPr>
                <w:rFonts w:asciiTheme="minorHAnsi" w:hAnsiTheme="minorHAnsi" w:cstheme="minorHAnsi"/>
                <w:bCs/>
                <w:lang w:val="en-US"/>
              </w:rPr>
              <w:t>, the</w:t>
            </w:r>
            <w:r>
              <w:rPr>
                <w:rFonts w:asciiTheme="minorHAnsi" w:hAnsiTheme="minorHAnsi" w:cstheme="minorHAnsi"/>
                <w:bCs/>
                <w:lang w:val="en-US"/>
              </w:rPr>
              <w:t xml:space="preserve"> Court of Justice of the European Union – Special Focus on the EU Legislative Process</w:t>
            </w:r>
            <w:r w:rsidRPr="00BD1599">
              <w:rPr>
                <w:rFonts w:asciiTheme="minorHAnsi" w:hAnsiTheme="minorHAnsi" w:cstheme="minorHAnsi"/>
                <w:bCs/>
                <w:lang w:val="en-US"/>
              </w:rPr>
              <w:t xml:space="preserve"> </w:t>
            </w:r>
          </w:p>
        </w:tc>
        <w:tc>
          <w:tcPr>
            <w:tcW w:w="7650" w:type="dxa"/>
          </w:tcPr>
          <w:p w14:paraId="22D7422B" w14:textId="77777777" w:rsidR="00804079" w:rsidRPr="00990ACC" w:rsidRDefault="00BD1599" w:rsidP="00990ACC">
            <w:pPr>
              <w:rPr>
                <w:rFonts w:asciiTheme="minorHAnsi" w:hAnsiTheme="minorHAnsi" w:cstheme="minorBidi"/>
                <w:lang w:val="en-US"/>
              </w:rPr>
            </w:pPr>
            <w:r w:rsidRPr="00990ACC">
              <w:rPr>
                <w:rFonts w:asciiTheme="minorHAnsi" w:hAnsiTheme="minorHAnsi" w:cstheme="minorBidi"/>
                <w:u w:val="single"/>
                <w:lang w:val="en-US"/>
              </w:rPr>
              <w:lastRenderedPageBreak/>
              <w:t>Additional r</w:t>
            </w:r>
            <w:r w:rsidR="00846441" w:rsidRPr="00990ACC">
              <w:rPr>
                <w:rFonts w:asciiTheme="minorHAnsi" w:hAnsiTheme="minorHAnsi" w:cstheme="minorBidi"/>
                <w:u w:val="single"/>
                <w:lang w:val="en-US"/>
              </w:rPr>
              <w:t>eadings</w:t>
            </w:r>
            <w:r w:rsidR="00846441" w:rsidRPr="00990ACC">
              <w:rPr>
                <w:rFonts w:asciiTheme="minorHAnsi" w:hAnsiTheme="minorHAnsi" w:cstheme="minorBidi"/>
                <w:lang w:val="en-US"/>
              </w:rPr>
              <w:t>:</w:t>
            </w:r>
          </w:p>
          <w:p w14:paraId="3712435D" w14:textId="77777777" w:rsidR="00BD1599" w:rsidRPr="00990ACC" w:rsidRDefault="00BD1599" w:rsidP="00990ACC">
            <w:pPr>
              <w:rPr>
                <w:rFonts w:asciiTheme="minorHAnsi" w:hAnsiTheme="minorHAnsi" w:cstheme="minorBidi"/>
                <w:lang w:val="en-US"/>
              </w:rPr>
            </w:pPr>
          </w:p>
          <w:p w14:paraId="1BB6013B" w14:textId="506424DF" w:rsidR="00FC10CD" w:rsidRPr="000961FB" w:rsidRDefault="00BD1599" w:rsidP="000961FB">
            <w:pPr>
              <w:pStyle w:val="ListParagraph"/>
              <w:numPr>
                <w:ilvl w:val="0"/>
                <w:numId w:val="24"/>
              </w:numPr>
              <w:rPr>
                <w:rFonts w:asciiTheme="minorHAnsi" w:hAnsiTheme="minorHAnsi" w:cstheme="minorBidi"/>
                <w:sz w:val="24"/>
                <w:szCs w:val="24"/>
                <w:lang w:val="en-US"/>
              </w:rPr>
            </w:pPr>
            <w:r w:rsidRPr="00990ACC">
              <w:rPr>
                <w:rFonts w:asciiTheme="minorHAnsi" w:hAnsiTheme="minorHAnsi" w:cstheme="minorBidi"/>
                <w:sz w:val="24"/>
                <w:szCs w:val="24"/>
                <w:lang w:val="en-US"/>
              </w:rPr>
              <w:t>O.</w:t>
            </w:r>
            <w:r w:rsidR="003014B5" w:rsidRPr="00990ACC">
              <w:rPr>
                <w:rFonts w:asciiTheme="minorHAnsi" w:hAnsiTheme="minorHAnsi" w:cstheme="minorBidi"/>
                <w:sz w:val="24"/>
                <w:szCs w:val="24"/>
                <w:lang w:val="en-US"/>
              </w:rPr>
              <w:t xml:space="preserve"> Costa</w:t>
            </w:r>
            <w:r w:rsidRPr="00990ACC">
              <w:rPr>
                <w:rFonts w:asciiTheme="minorHAnsi" w:hAnsiTheme="minorHAnsi" w:cstheme="minorBidi"/>
                <w:sz w:val="24"/>
                <w:szCs w:val="24"/>
                <w:lang w:val="en-US"/>
              </w:rPr>
              <w:t xml:space="preserve"> and N.</w:t>
            </w:r>
            <w:r w:rsidR="003014B5" w:rsidRPr="00990ACC">
              <w:rPr>
                <w:rFonts w:asciiTheme="minorHAnsi" w:hAnsiTheme="minorHAnsi" w:cstheme="minorBidi"/>
                <w:sz w:val="24"/>
                <w:szCs w:val="24"/>
                <w:lang w:val="en-US"/>
              </w:rPr>
              <w:t xml:space="preserve"> Brack</w:t>
            </w:r>
            <w:r w:rsidRPr="00990ACC">
              <w:rPr>
                <w:rFonts w:asciiTheme="minorHAnsi" w:hAnsiTheme="minorHAnsi" w:cstheme="minorBidi"/>
                <w:sz w:val="24"/>
                <w:szCs w:val="24"/>
                <w:lang w:val="en-US"/>
              </w:rPr>
              <w:t>, “</w:t>
            </w:r>
            <w:r w:rsidR="003014B5" w:rsidRPr="00990ACC">
              <w:rPr>
                <w:rFonts w:asciiTheme="minorHAnsi" w:hAnsiTheme="minorHAnsi" w:cstheme="minorBidi"/>
                <w:sz w:val="24"/>
                <w:szCs w:val="24"/>
                <w:lang w:val="en-US"/>
              </w:rPr>
              <w:t>The Role of the European Parliament in Europe’s Integration and Parliamentarization Process</w:t>
            </w:r>
            <w:r w:rsidRPr="00990ACC">
              <w:rPr>
                <w:rFonts w:asciiTheme="minorHAnsi" w:hAnsiTheme="minorHAnsi" w:cstheme="minorBidi"/>
                <w:sz w:val="24"/>
                <w:szCs w:val="24"/>
                <w:lang w:val="en-US"/>
              </w:rPr>
              <w:t xml:space="preserve">”, in </w:t>
            </w:r>
            <w:r w:rsidRPr="00990ACC">
              <w:rPr>
                <w:rFonts w:asciiTheme="minorHAnsi" w:hAnsiTheme="minorHAnsi" w:cstheme="minorBidi"/>
                <w:i/>
                <w:iCs/>
                <w:sz w:val="24"/>
                <w:szCs w:val="24"/>
                <w:lang w:val="en-US"/>
              </w:rPr>
              <w:lastRenderedPageBreak/>
              <w:t>Parliamentary Dimensions of Regionalization and Globalization: The Role of Inter-Parliamentary Institutions</w:t>
            </w:r>
            <w:r w:rsidRPr="00990ACC">
              <w:rPr>
                <w:rFonts w:asciiTheme="minorHAnsi" w:hAnsiTheme="minorHAnsi" w:cstheme="minorBidi"/>
                <w:sz w:val="24"/>
                <w:szCs w:val="24"/>
                <w:lang w:val="en-US"/>
              </w:rPr>
              <w:t>, UK, Palgrave Macmillan, 2013,  pp. 45-69.</w:t>
            </w:r>
            <w:bookmarkStart w:id="0" w:name="_GoBack"/>
            <w:bookmarkEnd w:id="0"/>
          </w:p>
          <w:p w14:paraId="3059EFB4" w14:textId="77777777" w:rsidR="00FC10CD" w:rsidRPr="00990ACC" w:rsidRDefault="00FC10CD" w:rsidP="00990ACC">
            <w:pPr>
              <w:rPr>
                <w:rFonts w:asciiTheme="minorHAnsi" w:hAnsiTheme="minorHAnsi"/>
                <w:lang w:val="en-US"/>
              </w:rPr>
            </w:pPr>
          </w:p>
          <w:p w14:paraId="054D99DF" w14:textId="77777777" w:rsidR="00FC10CD" w:rsidRPr="00990ACC" w:rsidRDefault="00FC10CD" w:rsidP="00990ACC">
            <w:pPr>
              <w:rPr>
                <w:rFonts w:asciiTheme="minorHAnsi" w:hAnsiTheme="minorHAnsi"/>
                <w:u w:val="single"/>
                <w:lang w:val="en-US"/>
              </w:rPr>
            </w:pPr>
            <w:r w:rsidRPr="00990ACC">
              <w:rPr>
                <w:rFonts w:asciiTheme="minorHAnsi" w:hAnsiTheme="minorHAnsi"/>
                <w:u w:val="single"/>
                <w:lang w:val="en-US"/>
              </w:rPr>
              <w:t xml:space="preserve"> Videos: </w:t>
            </w:r>
          </w:p>
          <w:p w14:paraId="0D14AC73" w14:textId="77777777" w:rsidR="00097E45" w:rsidRPr="00990ACC" w:rsidRDefault="003014B5" w:rsidP="00990ACC">
            <w:pPr>
              <w:pStyle w:val="ListParagraph"/>
              <w:numPr>
                <w:ilvl w:val="0"/>
                <w:numId w:val="24"/>
              </w:numPr>
              <w:rPr>
                <w:rFonts w:asciiTheme="minorHAnsi" w:hAnsiTheme="minorHAnsi"/>
                <w:sz w:val="24"/>
                <w:szCs w:val="24"/>
                <w:lang w:val="en-US"/>
              </w:rPr>
            </w:pPr>
            <w:r w:rsidRPr="00990ACC">
              <w:rPr>
                <w:rFonts w:asciiTheme="minorHAnsi" w:hAnsiTheme="minorHAnsi"/>
                <w:sz w:val="24"/>
                <w:szCs w:val="24"/>
                <w:lang w:val="en-US"/>
              </w:rPr>
              <w:t xml:space="preserve">The European Parliament in a nutshell: </w:t>
            </w:r>
            <w:hyperlink r:id="rId43" w:history="1">
              <w:r w:rsidRPr="00990ACC">
                <w:rPr>
                  <w:rStyle w:val="Hyperlink"/>
                  <w:rFonts w:asciiTheme="minorHAnsi" w:hAnsiTheme="minorHAnsi"/>
                  <w:sz w:val="24"/>
                  <w:szCs w:val="24"/>
                  <w:lang w:val="en-US"/>
                </w:rPr>
                <w:t>https://www.youtube.com/watch?v=bt84q2CBTPw</w:t>
              </w:r>
            </w:hyperlink>
            <w:r w:rsidRPr="00990ACC">
              <w:rPr>
                <w:rFonts w:asciiTheme="minorHAnsi" w:hAnsiTheme="minorHAnsi"/>
                <w:sz w:val="24"/>
                <w:szCs w:val="24"/>
                <w:lang w:val="en-US"/>
              </w:rPr>
              <w:t xml:space="preserve"> </w:t>
            </w:r>
          </w:p>
          <w:p w14:paraId="6D28603C" w14:textId="77777777" w:rsidR="003014B5" w:rsidRPr="00990ACC" w:rsidRDefault="003014B5" w:rsidP="00990ACC">
            <w:pPr>
              <w:pStyle w:val="ListParagraph"/>
              <w:numPr>
                <w:ilvl w:val="0"/>
                <w:numId w:val="24"/>
              </w:numPr>
              <w:rPr>
                <w:rFonts w:asciiTheme="minorHAnsi" w:hAnsiTheme="minorHAnsi"/>
                <w:sz w:val="24"/>
                <w:szCs w:val="24"/>
                <w:lang w:val="en-US"/>
              </w:rPr>
            </w:pPr>
            <w:r w:rsidRPr="00990ACC">
              <w:rPr>
                <w:rFonts w:asciiTheme="minorHAnsi" w:hAnsiTheme="minorHAnsi"/>
                <w:sz w:val="24"/>
                <w:szCs w:val="24"/>
                <w:lang w:val="en-US"/>
              </w:rPr>
              <w:t xml:space="preserve">How the Court works – the basics: </w:t>
            </w:r>
            <w:hyperlink r:id="rId44" w:history="1">
              <w:r w:rsidRPr="00990ACC">
                <w:rPr>
                  <w:rStyle w:val="Hyperlink"/>
                  <w:rFonts w:asciiTheme="minorHAnsi" w:hAnsiTheme="minorHAnsi"/>
                  <w:sz w:val="24"/>
                  <w:szCs w:val="24"/>
                  <w:lang w:val="en-US"/>
                </w:rPr>
                <w:t>https://www.youtube.com/watch?v=bIjyIj7RH1Q</w:t>
              </w:r>
            </w:hyperlink>
          </w:p>
          <w:p w14:paraId="4100E14C" w14:textId="77777777" w:rsidR="003014B5" w:rsidRPr="00990ACC" w:rsidRDefault="003014B5" w:rsidP="00990ACC">
            <w:pPr>
              <w:pStyle w:val="ListParagraph"/>
              <w:ind w:left="1080"/>
              <w:rPr>
                <w:rFonts w:asciiTheme="minorHAnsi" w:hAnsiTheme="minorHAnsi"/>
                <w:sz w:val="24"/>
                <w:szCs w:val="24"/>
                <w:lang w:val="en-US"/>
              </w:rPr>
            </w:pPr>
          </w:p>
          <w:p w14:paraId="59CFF20E" w14:textId="77777777" w:rsidR="00FC10CD" w:rsidRPr="00990ACC" w:rsidRDefault="00FC10CD" w:rsidP="00990ACC">
            <w:pPr>
              <w:rPr>
                <w:rFonts w:asciiTheme="minorHAnsi" w:hAnsiTheme="minorHAnsi"/>
                <w:lang w:val="en-US"/>
              </w:rPr>
            </w:pPr>
          </w:p>
        </w:tc>
      </w:tr>
      <w:tr w:rsidR="00846441" w:rsidRPr="000A486B" w14:paraId="4EFE45DC" w14:textId="77777777"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14:paraId="4205C46A" w14:textId="77777777"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lastRenderedPageBreak/>
              <w:t>week 3</w:t>
            </w:r>
          </w:p>
          <w:p w14:paraId="724CE122" w14:textId="77777777" w:rsidR="00036D31" w:rsidRPr="000A486B" w:rsidRDefault="00036D31" w:rsidP="009F05F7">
            <w:pPr>
              <w:ind w:left="34"/>
              <w:rPr>
                <w:rFonts w:asciiTheme="minorHAnsi" w:hAnsiTheme="minorHAnsi" w:cstheme="minorHAnsi"/>
                <w:b/>
                <w:caps/>
                <w:lang w:val="en-US"/>
              </w:rPr>
            </w:pPr>
          </w:p>
        </w:tc>
        <w:tc>
          <w:tcPr>
            <w:tcW w:w="1800" w:type="dxa"/>
          </w:tcPr>
          <w:p w14:paraId="0A65D243" w14:textId="77777777" w:rsidR="004710EC" w:rsidRPr="000A486B" w:rsidRDefault="004710EC" w:rsidP="00846441">
            <w:pPr>
              <w:ind w:left="16"/>
              <w:rPr>
                <w:rFonts w:asciiTheme="minorHAnsi" w:hAnsiTheme="minorHAnsi"/>
                <w:color w:val="000000"/>
                <w:lang w:val="en-US"/>
              </w:rPr>
            </w:pPr>
          </w:p>
          <w:p w14:paraId="7F400005" w14:textId="77777777" w:rsidR="004710EC" w:rsidRPr="000A486B" w:rsidRDefault="004710EC" w:rsidP="00846441">
            <w:pPr>
              <w:ind w:left="16"/>
              <w:rPr>
                <w:rFonts w:asciiTheme="minorHAnsi" w:hAnsiTheme="minorHAnsi"/>
                <w:color w:val="000000"/>
                <w:lang w:val="en-US"/>
              </w:rPr>
            </w:pPr>
          </w:p>
          <w:p w14:paraId="554DBC0C" w14:textId="77777777" w:rsidR="00990ACC" w:rsidRDefault="00990ACC" w:rsidP="00846441">
            <w:pPr>
              <w:ind w:left="16"/>
              <w:rPr>
                <w:rFonts w:asciiTheme="minorHAnsi" w:hAnsiTheme="minorHAnsi"/>
                <w:color w:val="000000"/>
                <w:lang w:val="en-US"/>
              </w:rPr>
            </w:pPr>
          </w:p>
          <w:p w14:paraId="2233F87F" w14:textId="77777777" w:rsidR="00990ACC" w:rsidRDefault="00990ACC" w:rsidP="00846441">
            <w:pPr>
              <w:ind w:left="16"/>
              <w:rPr>
                <w:rFonts w:asciiTheme="minorHAnsi" w:hAnsiTheme="minorHAnsi"/>
                <w:color w:val="000000"/>
                <w:lang w:val="en-US"/>
              </w:rPr>
            </w:pPr>
          </w:p>
          <w:p w14:paraId="3ED0D556" w14:textId="77777777" w:rsidR="00990ACC" w:rsidRDefault="00990ACC" w:rsidP="00846441">
            <w:pPr>
              <w:ind w:left="16"/>
              <w:rPr>
                <w:rFonts w:asciiTheme="minorHAnsi" w:hAnsiTheme="minorHAnsi"/>
                <w:color w:val="000000"/>
                <w:lang w:val="en-US"/>
              </w:rPr>
            </w:pPr>
          </w:p>
          <w:p w14:paraId="6C951CBB" w14:textId="77777777" w:rsidR="00990ACC" w:rsidRDefault="00990ACC" w:rsidP="00846441">
            <w:pPr>
              <w:ind w:left="16"/>
              <w:rPr>
                <w:rFonts w:asciiTheme="minorHAnsi" w:hAnsiTheme="minorHAnsi"/>
                <w:color w:val="000000"/>
                <w:lang w:val="en-US"/>
              </w:rPr>
            </w:pPr>
          </w:p>
          <w:p w14:paraId="2F7C1FA1" w14:textId="77777777" w:rsidR="00990ACC" w:rsidRDefault="00990ACC" w:rsidP="00846441">
            <w:pPr>
              <w:ind w:left="16"/>
              <w:rPr>
                <w:rFonts w:asciiTheme="minorHAnsi" w:hAnsiTheme="minorHAnsi"/>
                <w:color w:val="000000"/>
                <w:lang w:val="en-US"/>
              </w:rPr>
            </w:pPr>
          </w:p>
          <w:p w14:paraId="47D63A54" w14:textId="77777777" w:rsidR="004710EC" w:rsidRPr="000A486B" w:rsidRDefault="00BD1599" w:rsidP="00846441">
            <w:pPr>
              <w:ind w:left="16"/>
              <w:rPr>
                <w:rFonts w:asciiTheme="minorHAnsi" w:hAnsiTheme="minorHAnsi"/>
                <w:color w:val="000000"/>
                <w:lang w:val="en-US"/>
              </w:rPr>
            </w:pPr>
            <w:r>
              <w:rPr>
                <w:rFonts w:asciiTheme="minorHAnsi" w:hAnsiTheme="minorHAnsi"/>
                <w:color w:val="000000"/>
                <w:lang w:val="en-US"/>
              </w:rPr>
              <w:t xml:space="preserve">Other EU Institutions – Accountability and Transparency </w:t>
            </w:r>
          </w:p>
          <w:p w14:paraId="0088965D" w14:textId="77777777" w:rsidR="004710EC" w:rsidRPr="000A486B" w:rsidRDefault="004710EC" w:rsidP="00846441">
            <w:pPr>
              <w:ind w:left="16"/>
              <w:rPr>
                <w:rFonts w:asciiTheme="minorHAnsi" w:hAnsiTheme="minorHAnsi"/>
                <w:color w:val="000000"/>
                <w:lang w:val="en-US"/>
              </w:rPr>
            </w:pPr>
          </w:p>
          <w:p w14:paraId="12FD2C34" w14:textId="77777777" w:rsidR="004710EC" w:rsidRPr="000A486B" w:rsidRDefault="004710EC" w:rsidP="00846441">
            <w:pPr>
              <w:ind w:left="16"/>
              <w:rPr>
                <w:rFonts w:asciiTheme="minorHAnsi" w:hAnsiTheme="minorHAnsi"/>
                <w:color w:val="000000"/>
                <w:lang w:val="en-US"/>
              </w:rPr>
            </w:pPr>
          </w:p>
          <w:p w14:paraId="15958622" w14:textId="77777777" w:rsidR="00846441" w:rsidRPr="000A486B" w:rsidRDefault="00846441" w:rsidP="00846441">
            <w:pPr>
              <w:ind w:left="16"/>
              <w:rPr>
                <w:rFonts w:asciiTheme="minorHAnsi" w:hAnsiTheme="minorHAnsi" w:cstheme="minorHAnsi"/>
                <w:b/>
                <w:caps/>
                <w:lang w:val="en-US"/>
              </w:rPr>
            </w:pPr>
          </w:p>
        </w:tc>
        <w:tc>
          <w:tcPr>
            <w:tcW w:w="7650" w:type="dxa"/>
          </w:tcPr>
          <w:p w14:paraId="24479105" w14:textId="77777777" w:rsidR="00846441" w:rsidRPr="00990ACC" w:rsidRDefault="00BD1599" w:rsidP="00990ACC">
            <w:pPr>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Additional r</w:t>
            </w:r>
            <w:r w:rsidR="00846441" w:rsidRPr="00990ACC">
              <w:rPr>
                <w:rFonts w:asciiTheme="minorHAnsi" w:hAnsiTheme="minorHAnsi"/>
                <w:color w:val="111111"/>
                <w:u w:val="single"/>
                <w:bdr w:val="none" w:sz="0" w:space="0" w:color="auto" w:frame="1"/>
                <w:lang w:val="en-US"/>
              </w:rPr>
              <w:t>eadings:</w:t>
            </w:r>
          </w:p>
          <w:p w14:paraId="689333A9" w14:textId="77777777" w:rsidR="00AF2A47" w:rsidRPr="00990ACC" w:rsidRDefault="00AF2A47" w:rsidP="00990ACC">
            <w:pPr>
              <w:rPr>
                <w:rFonts w:asciiTheme="minorHAnsi" w:hAnsiTheme="minorHAnsi" w:cstheme="minorBidi"/>
                <w:lang w:val="en-US"/>
              </w:rPr>
            </w:pPr>
          </w:p>
          <w:p w14:paraId="7231BD7C" w14:textId="77777777" w:rsidR="00A73301" w:rsidRPr="00990ACC" w:rsidRDefault="00BD1599" w:rsidP="00990ACC">
            <w:pPr>
              <w:pStyle w:val="ListParagraph"/>
              <w:numPr>
                <w:ilvl w:val="0"/>
                <w:numId w:val="24"/>
              </w:numPr>
              <w:rPr>
                <w:rFonts w:asciiTheme="minorHAnsi" w:hAnsiTheme="minorHAnsi" w:cstheme="minorBidi"/>
                <w:sz w:val="24"/>
                <w:szCs w:val="24"/>
                <w:lang w:val="en-US"/>
              </w:rPr>
            </w:pPr>
            <w:r w:rsidRPr="00990ACC">
              <w:rPr>
                <w:rFonts w:asciiTheme="minorHAnsi" w:hAnsiTheme="minorHAnsi" w:cstheme="minorBidi"/>
                <w:sz w:val="24"/>
                <w:szCs w:val="24"/>
                <w:lang w:val="en-US"/>
              </w:rPr>
              <w:t xml:space="preserve">R. Smits, “The European Central Bank: Institutional Aspects”, </w:t>
            </w:r>
            <w:r w:rsidRPr="00990ACC">
              <w:rPr>
                <w:rFonts w:asciiTheme="minorHAnsi" w:hAnsiTheme="minorHAnsi" w:cstheme="minorBidi"/>
                <w:i/>
                <w:iCs/>
                <w:sz w:val="24"/>
                <w:szCs w:val="24"/>
                <w:lang w:val="en-US"/>
              </w:rPr>
              <w:t xml:space="preserve">International and Comparative Law </w:t>
            </w:r>
            <w:r w:rsidR="00990ACC" w:rsidRPr="00990ACC">
              <w:rPr>
                <w:rFonts w:asciiTheme="minorHAnsi" w:hAnsiTheme="minorHAnsi" w:cstheme="minorBidi"/>
                <w:i/>
                <w:iCs/>
                <w:sz w:val="24"/>
                <w:szCs w:val="24"/>
                <w:lang w:val="en-US"/>
              </w:rPr>
              <w:t>Quarterly</w:t>
            </w:r>
            <w:r w:rsidRPr="00990ACC">
              <w:rPr>
                <w:rFonts w:asciiTheme="minorHAnsi" w:hAnsiTheme="minorHAnsi" w:cstheme="minorBidi"/>
                <w:sz w:val="24"/>
                <w:szCs w:val="24"/>
                <w:lang w:val="en-US"/>
              </w:rPr>
              <w:t>, vol</w:t>
            </w:r>
            <w:r w:rsidR="00990ACC">
              <w:rPr>
                <w:rFonts w:asciiTheme="minorHAnsi" w:hAnsiTheme="minorHAnsi" w:cstheme="minorBidi"/>
                <w:sz w:val="24"/>
                <w:szCs w:val="24"/>
                <w:lang w:val="en-US"/>
              </w:rPr>
              <w:t>.</w:t>
            </w:r>
            <w:r w:rsidRPr="00990ACC">
              <w:rPr>
                <w:rFonts w:asciiTheme="minorHAnsi" w:hAnsiTheme="minorHAnsi" w:cstheme="minorBidi"/>
                <w:sz w:val="24"/>
                <w:szCs w:val="24"/>
                <w:lang w:val="en-US"/>
              </w:rPr>
              <w:t xml:space="preserve"> 45, n. 2, 2008, pp. 319-342.</w:t>
            </w:r>
          </w:p>
          <w:p w14:paraId="793F3388" w14:textId="77777777" w:rsidR="00A73301" w:rsidRPr="00990ACC" w:rsidRDefault="00A73301" w:rsidP="00990ACC">
            <w:pPr>
              <w:rPr>
                <w:rFonts w:asciiTheme="minorHAnsi" w:hAnsiTheme="minorHAnsi" w:cstheme="minorBidi"/>
                <w:lang w:val="en-US"/>
              </w:rPr>
            </w:pPr>
          </w:p>
          <w:p w14:paraId="08A8E16B" w14:textId="77777777" w:rsidR="00A73301" w:rsidRPr="00990ACC" w:rsidRDefault="00A73301" w:rsidP="00990ACC">
            <w:pPr>
              <w:rPr>
                <w:rFonts w:asciiTheme="minorHAnsi" w:hAnsiTheme="minorHAnsi" w:cstheme="minorBidi"/>
                <w:u w:val="single"/>
                <w:lang w:val="en-US"/>
              </w:rPr>
            </w:pPr>
            <w:r w:rsidRPr="00990ACC">
              <w:rPr>
                <w:rFonts w:asciiTheme="minorHAnsi" w:hAnsiTheme="minorHAnsi" w:cstheme="minorBidi"/>
                <w:u w:val="single"/>
                <w:lang w:val="en-US"/>
              </w:rPr>
              <w:t xml:space="preserve">Videos: </w:t>
            </w:r>
          </w:p>
          <w:p w14:paraId="51DC86D5" w14:textId="77777777" w:rsidR="00BD1599" w:rsidRPr="00990ACC" w:rsidRDefault="00BD1599" w:rsidP="00990ACC">
            <w:pPr>
              <w:rPr>
                <w:rFonts w:asciiTheme="minorHAnsi" w:hAnsiTheme="minorHAnsi" w:cstheme="minorBidi"/>
                <w:u w:val="single"/>
                <w:lang w:val="en-US"/>
              </w:rPr>
            </w:pPr>
          </w:p>
          <w:p w14:paraId="142D85BA" w14:textId="77777777" w:rsidR="00BD1599" w:rsidRPr="00990ACC" w:rsidRDefault="00BD1599" w:rsidP="00990ACC">
            <w:pPr>
              <w:pStyle w:val="ListParagraph"/>
              <w:numPr>
                <w:ilvl w:val="0"/>
                <w:numId w:val="24"/>
              </w:numPr>
              <w:rPr>
                <w:rFonts w:asciiTheme="minorHAnsi" w:hAnsiTheme="minorHAnsi" w:cstheme="minorBidi"/>
                <w:sz w:val="24"/>
                <w:szCs w:val="24"/>
                <w:lang w:val="en-US"/>
              </w:rPr>
            </w:pPr>
            <w:r w:rsidRPr="00990ACC">
              <w:rPr>
                <w:rFonts w:asciiTheme="minorHAnsi" w:hAnsiTheme="minorHAnsi" w:cstheme="minorBidi"/>
                <w:sz w:val="24"/>
                <w:szCs w:val="24"/>
                <w:lang w:val="en-US"/>
              </w:rPr>
              <w:t xml:space="preserve">Ever wondered what is the European Committee of the Regions?: </w:t>
            </w:r>
            <w:hyperlink r:id="rId45" w:history="1">
              <w:r w:rsidRPr="00990ACC">
                <w:rPr>
                  <w:rStyle w:val="Hyperlink"/>
                  <w:rFonts w:asciiTheme="minorHAnsi" w:hAnsiTheme="minorHAnsi" w:cstheme="minorBidi"/>
                  <w:sz w:val="24"/>
                  <w:szCs w:val="24"/>
                  <w:u w:val="none"/>
                  <w:lang w:val="en-US"/>
                </w:rPr>
                <w:t>https://www.youtube.com/watch?v=TGsUPwnRTs8</w:t>
              </w:r>
            </w:hyperlink>
            <w:r w:rsidRPr="00990ACC">
              <w:rPr>
                <w:rFonts w:asciiTheme="minorHAnsi" w:hAnsiTheme="minorHAnsi" w:cstheme="minorBidi"/>
                <w:sz w:val="24"/>
                <w:szCs w:val="24"/>
                <w:lang w:val="en-US"/>
              </w:rPr>
              <w:t xml:space="preserve"> </w:t>
            </w:r>
          </w:p>
          <w:p w14:paraId="316FFD13" w14:textId="77777777" w:rsidR="00BD1599" w:rsidRPr="00990ACC" w:rsidRDefault="00BD1599" w:rsidP="00990ACC">
            <w:pPr>
              <w:pStyle w:val="ListParagraph"/>
              <w:numPr>
                <w:ilvl w:val="0"/>
                <w:numId w:val="24"/>
              </w:numPr>
              <w:rPr>
                <w:rFonts w:asciiTheme="minorHAnsi" w:hAnsiTheme="minorHAnsi" w:cstheme="minorBidi"/>
                <w:sz w:val="24"/>
                <w:szCs w:val="24"/>
                <w:lang w:val="en-US"/>
              </w:rPr>
            </w:pPr>
            <w:r w:rsidRPr="00990ACC">
              <w:rPr>
                <w:rFonts w:asciiTheme="minorHAnsi" w:hAnsiTheme="minorHAnsi" w:cstheme="minorBidi"/>
                <w:sz w:val="24"/>
                <w:szCs w:val="24"/>
                <w:lang w:val="en-US"/>
              </w:rPr>
              <w:t xml:space="preserve">ECB and the Eurosystem explained: </w:t>
            </w:r>
            <w:hyperlink r:id="rId46" w:history="1">
              <w:r w:rsidRPr="00990ACC">
                <w:rPr>
                  <w:rStyle w:val="Hyperlink"/>
                  <w:rFonts w:asciiTheme="minorHAnsi" w:hAnsiTheme="minorHAnsi" w:cstheme="minorBidi"/>
                  <w:sz w:val="24"/>
                  <w:szCs w:val="24"/>
                  <w:u w:val="none"/>
                  <w:lang w:val="en-US"/>
                </w:rPr>
                <w:t>https://www.youtube.com/watch?v=TAlcFwGIQBg</w:t>
              </w:r>
            </w:hyperlink>
            <w:r w:rsidRPr="00990ACC">
              <w:rPr>
                <w:rFonts w:asciiTheme="minorHAnsi" w:hAnsiTheme="minorHAnsi" w:cstheme="minorBidi"/>
                <w:sz w:val="24"/>
                <w:szCs w:val="24"/>
                <w:lang w:val="en-US"/>
              </w:rPr>
              <w:t xml:space="preserve"> </w:t>
            </w:r>
          </w:p>
          <w:p w14:paraId="304C86D6" w14:textId="77777777" w:rsidR="00BD1599" w:rsidRPr="00990ACC" w:rsidRDefault="00BD1599" w:rsidP="00990ACC">
            <w:pPr>
              <w:ind w:left="720"/>
              <w:rPr>
                <w:rFonts w:asciiTheme="minorHAnsi" w:hAnsiTheme="minorHAnsi" w:cstheme="minorBidi"/>
                <w:u w:val="single"/>
                <w:lang w:val="en-US"/>
              </w:rPr>
            </w:pPr>
          </w:p>
          <w:p w14:paraId="02DD9DC8" w14:textId="77777777" w:rsidR="00A73301" w:rsidRPr="00990ACC" w:rsidRDefault="00A73301" w:rsidP="00990ACC">
            <w:pPr>
              <w:rPr>
                <w:rFonts w:asciiTheme="minorHAnsi" w:hAnsiTheme="minorHAnsi" w:cstheme="minorBidi"/>
                <w:lang w:val="en-US"/>
              </w:rPr>
            </w:pPr>
          </w:p>
          <w:p w14:paraId="0AFAB390" w14:textId="77777777" w:rsidR="00DC7896" w:rsidRPr="00990ACC" w:rsidRDefault="00DC7896" w:rsidP="00990ACC">
            <w:pPr>
              <w:rPr>
                <w:rFonts w:asciiTheme="minorHAnsi" w:hAnsiTheme="minorHAnsi" w:cstheme="minorBidi"/>
                <w:lang w:val="en-US"/>
              </w:rPr>
            </w:pPr>
          </w:p>
          <w:p w14:paraId="4EC74DBE" w14:textId="77777777" w:rsidR="00DC7896" w:rsidRPr="00990ACC" w:rsidRDefault="00DC7896" w:rsidP="00990ACC">
            <w:pPr>
              <w:rPr>
                <w:rFonts w:asciiTheme="minorHAnsi" w:hAnsiTheme="minorHAnsi" w:cstheme="minorHAnsi"/>
                <w:caps/>
                <w:lang w:val="en-US"/>
              </w:rPr>
            </w:pPr>
          </w:p>
        </w:tc>
      </w:tr>
    </w:tbl>
    <w:p w14:paraId="0BCADD4B" w14:textId="77777777" w:rsidR="004B3213" w:rsidRPr="000A486B" w:rsidRDefault="004B3213" w:rsidP="00537543">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47"/>
      <w:footerReference w:type="default" r:id="rId48"/>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FAF30" w14:textId="77777777" w:rsidR="00AC6A03" w:rsidRDefault="00AC6A03" w:rsidP="00345443">
      <w:r>
        <w:separator/>
      </w:r>
    </w:p>
  </w:endnote>
  <w:endnote w:type="continuationSeparator" w:id="0">
    <w:p w14:paraId="738074B0" w14:textId="77777777" w:rsidR="00AC6A03" w:rsidRDefault="00AC6A03"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Malgun Gothic"/>
    <w:panose1 w:val="00000000000000000000"/>
    <w:charset w:val="81"/>
    <w:family w:val="auto"/>
    <w:notTrueType/>
    <w:pitch w:val="default"/>
    <w:sig w:usb0="00000003" w:usb1="09060000" w:usb2="00000010"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8694" w14:textId="41C69AD2"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0961FB">
      <w:rPr>
        <w:noProof/>
      </w:rPr>
      <w:t>6</w:t>
    </w:r>
    <w:r>
      <w:rPr>
        <w:noProof/>
      </w:rPr>
      <w:fldChar w:fldCharType="end"/>
    </w:r>
    <w:r>
      <w:t xml:space="preserve"> | </w:t>
    </w:r>
    <w:r w:rsidRPr="00345443">
      <w:rPr>
        <w:color w:val="808080"/>
        <w:spacing w:val="60"/>
      </w:rPr>
      <w:t>Page</w:t>
    </w:r>
  </w:p>
  <w:p w14:paraId="46D58F51" w14:textId="77777777"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EF12" w14:textId="77777777" w:rsidR="00AC6A03" w:rsidRDefault="00AC6A03" w:rsidP="00345443">
      <w:r>
        <w:separator/>
      </w:r>
    </w:p>
  </w:footnote>
  <w:footnote w:type="continuationSeparator" w:id="0">
    <w:p w14:paraId="21CB42D5" w14:textId="77777777" w:rsidR="00AC6A03" w:rsidRDefault="00AC6A03"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5CF5" w14:textId="77777777" w:rsidR="005C3A1F" w:rsidRDefault="00097E45"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3"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1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20"/>
  </w:num>
  <w:num w:numId="8">
    <w:abstractNumId w:val="21"/>
  </w:num>
  <w:num w:numId="9">
    <w:abstractNumId w:val="18"/>
  </w:num>
  <w:num w:numId="10">
    <w:abstractNumId w:val="12"/>
  </w:num>
  <w:num w:numId="11">
    <w:abstractNumId w:val="2"/>
  </w:num>
  <w:num w:numId="12">
    <w:abstractNumId w:val="9"/>
  </w:num>
  <w:num w:numId="13">
    <w:abstractNumId w:val="8"/>
  </w:num>
  <w:num w:numId="14">
    <w:abstractNumId w:val="14"/>
  </w:num>
  <w:num w:numId="15">
    <w:abstractNumId w:val="24"/>
  </w:num>
  <w:num w:numId="16">
    <w:abstractNumId w:val="0"/>
  </w:num>
  <w:num w:numId="17">
    <w:abstractNumId w:val="4"/>
  </w:num>
  <w:num w:numId="18">
    <w:abstractNumId w:val="16"/>
  </w:num>
  <w:num w:numId="19">
    <w:abstractNumId w:val="17"/>
  </w:num>
  <w:num w:numId="20">
    <w:abstractNumId w:val="1"/>
  </w:num>
  <w:num w:numId="21">
    <w:abstractNumId w:val="7"/>
  </w:num>
  <w:num w:numId="22">
    <w:abstractNumId w:val="22"/>
  </w:num>
  <w:num w:numId="23">
    <w:abstractNumId w:val="13"/>
  </w:num>
  <w:num w:numId="24">
    <w:abstractNumId w:val="5"/>
  </w:num>
  <w:num w:numId="25">
    <w:abstractNumId w:val="3"/>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158C"/>
    <w:rsid w:val="00016CB8"/>
    <w:rsid w:val="00024C75"/>
    <w:rsid w:val="000313A6"/>
    <w:rsid w:val="00036D31"/>
    <w:rsid w:val="000428CA"/>
    <w:rsid w:val="000442A4"/>
    <w:rsid w:val="0005073B"/>
    <w:rsid w:val="00073D94"/>
    <w:rsid w:val="00077CD3"/>
    <w:rsid w:val="000824A5"/>
    <w:rsid w:val="000961FB"/>
    <w:rsid w:val="00097E45"/>
    <w:rsid w:val="000A0C16"/>
    <w:rsid w:val="000A163C"/>
    <w:rsid w:val="000A2020"/>
    <w:rsid w:val="000A486B"/>
    <w:rsid w:val="000A6FA6"/>
    <w:rsid w:val="000C5249"/>
    <w:rsid w:val="000C724C"/>
    <w:rsid w:val="000D5018"/>
    <w:rsid w:val="000D7D49"/>
    <w:rsid w:val="000F1B55"/>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93444"/>
    <w:rsid w:val="001A2D5B"/>
    <w:rsid w:val="001A34E0"/>
    <w:rsid w:val="001A6931"/>
    <w:rsid w:val="001A739A"/>
    <w:rsid w:val="001A7E10"/>
    <w:rsid w:val="001B346D"/>
    <w:rsid w:val="001B578B"/>
    <w:rsid w:val="001C1D00"/>
    <w:rsid w:val="001C22E2"/>
    <w:rsid w:val="001F10F4"/>
    <w:rsid w:val="001F24A0"/>
    <w:rsid w:val="00213534"/>
    <w:rsid w:val="00261BF4"/>
    <w:rsid w:val="002637DD"/>
    <w:rsid w:val="0026386A"/>
    <w:rsid w:val="002C2F9F"/>
    <w:rsid w:val="002D6719"/>
    <w:rsid w:val="002E1661"/>
    <w:rsid w:val="003014B5"/>
    <w:rsid w:val="003025FD"/>
    <w:rsid w:val="00304804"/>
    <w:rsid w:val="003161BF"/>
    <w:rsid w:val="00321FDC"/>
    <w:rsid w:val="003259BD"/>
    <w:rsid w:val="00345443"/>
    <w:rsid w:val="00346365"/>
    <w:rsid w:val="00356114"/>
    <w:rsid w:val="0035700A"/>
    <w:rsid w:val="00364CBF"/>
    <w:rsid w:val="00370247"/>
    <w:rsid w:val="00380762"/>
    <w:rsid w:val="0039287F"/>
    <w:rsid w:val="003947DF"/>
    <w:rsid w:val="003A6806"/>
    <w:rsid w:val="003B59A4"/>
    <w:rsid w:val="003B639B"/>
    <w:rsid w:val="003C084A"/>
    <w:rsid w:val="003C4A83"/>
    <w:rsid w:val="003D71A4"/>
    <w:rsid w:val="003F28E9"/>
    <w:rsid w:val="003F57E2"/>
    <w:rsid w:val="004011DA"/>
    <w:rsid w:val="00402DF1"/>
    <w:rsid w:val="004061E1"/>
    <w:rsid w:val="00412A58"/>
    <w:rsid w:val="00415041"/>
    <w:rsid w:val="004205A4"/>
    <w:rsid w:val="00424BE9"/>
    <w:rsid w:val="004256B7"/>
    <w:rsid w:val="004603D7"/>
    <w:rsid w:val="004631AF"/>
    <w:rsid w:val="00470DF2"/>
    <w:rsid w:val="004710EC"/>
    <w:rsid w:val="004720D9"/>
    <w:rsid w:val="004749A8"/>
    <w:rsid w:val="00475250"/>
    <w:rsid w:val="00492973"/>
    <w:rsid w:val="00496266"/>
    <w:rsid w:val="004A0CF0"/>
    <w:rsid w:val="004A0EA8"/>
    <w:rsid w:val="004A2449"/>
    <w:rsid w:val="004A32EC"/>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F6F7B"/>
    <w:rsid w:val="00602606"/>
    <w:rsid w:val="00617AE8"/>
    <w:rsid w:val="00634355"/>
    <w:rsid w:val="0066385A"/>
    <w:rsid w:val="00664ABA"/>
    <w:rsid w:val="00667DE9"/>
    <w:rsid w:val="0068069C"/>
    <w:rsid w:val="006B20C7"/>
    <w:rsid w:val="006B2655"/>
    <w:rsid w:val="006B5D1D"/>
    <w:rsid w:val="006C3AEE"/>
    <w:rsid w:val="006D3D2D"/>
    <w:rsid w:val="006D6236"/>
    <w:rsid w:val="006E5EBC"/>
    <w:rsid w:val="006E6782"/>
    <w:rsid w:val="006E75C6"/>
    <w:rsid w:val="006F79B8"/>
    <w:rsid w:val="00702B90"/>
    <w:rsid w:val="00704DC9"/>
    <w:rsid w:val="0073038E"/>
    <w:rsid w:val="00730A93"/>
    <w:rsid w:val="007327F4"/>
    <w:rsid w:val="007358D6"/>
    <w:rsid w:val="00736C64"/>
    <w:rsid w:val="0073776B"/>
    <w:rsid w:val="00746E2C"/>
    <w:rsid w:val="00751E2F"/>
    <w:rsid w:val="007525E1"/>
    <w:rsid w:val="007551DE"/>
    <w:rsid w:val="00761D78"/>
    <w:rsid w:val="007762F2"/>
    <w:rsid w:val="007935C9"/>
    <w:rsid w:val="007B5D65"/>
    <w:rsid w:val="007C1008"/>
    <w:rsid w:val="007E1CED"/>
    <w:rsid w:val="007F7A65"/>
    <w:rsid w:val="00804079"/>
    <w:rsid w:val="0080691C"/>
    <w:rsid w:val="00826553"/>
    <w:rsid w:val="00831631"/>
    <w:rsid w:val="00846441"/>
    <w:rsid w:val="00851AA9"/>
    <w:rsid w:val="00873DF0"/>
    <w:rsid w:val="00876A26"/>
    <w:rsid w:val="008A4C39"/>
    <w:rsid w:val="008C0A08"/>
    <w:rsid w:val="008C3484"/>
    <w:rsid w:val="008C7E31"/>
    <w:rsid w:val="008E1F36"/>
    <w:rsid w:val="008F0C38"/>
    <w:rsid w:val="008F6C77"/>
    <w:rsid w:val="00911641"/>
    <w:rsid w:val="00922CB2"/>
    <w:rsid w:val="00930364"/>
    <w:rsid w:val="00942659"/>
    <w:rsid w:val="009433F1"/>
    <w:rsid w:val="0094721C"/>
    <w:rsid w:val="00950AA2"/>
    <w:rsid w:val="00976FB6"/>
    <w:rsid w:val="00977C6D"/>
    <w:rsid w:val="00985523"/>
    <w:rsid w:val="00986179"/>
    <w:rsid w:val="00987699"/>
    <w:rsid w:val="009878DC"/>
    <w:rsid w:val="00990ACC"/>
    <w:rsid w:val="00995899"/>
    <w:rsid w:val="009A09E6"/>
    <w:rsid w:val="009B1288"/>
    <w:rsid w:val="009C3DB6"/>
    <w:rsid w:val="009C7711"/>
    <w:rsid w:val="009E0299"/>
    <w:rsid w:val="009E7415"/>
    <w:rsid w:val="009F05F7"/>
    <w:rsid w:val="009F4953"/>
    <w:rsid w:val="00A16C24"/>
    <w:rsid w:val="00A255FE"/>
    <w:rsid w:val="00A25907"/>
    <w:rsid w:val="00A37C02"/>
    <w:rsid w:val="00A45F69"/>
    <w:rsid w:val="00A54769"/>
    <w:rsid w:val="00A71218"/>
    <w:rsid w:val="00A73301"/>
    <w:rsid w:val="00A76B34"/>
    <w:rsid w:val="00A97310"/>
    <w:rsid w:val="00AA19C2"/>
    <w:rsid w:val="00AA311B"/>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3FC7"/>
    <w:rsid w:val="00B806D2"/>
    <w:rsid w:val="00B844C5"/>
    <w:rsid w:val="00BB7E9F"/>
    <w:rsid w:val="00BD1599"/>
    <w:rsid w:val="00BD63AC"/>
    <w:rsid w:val="00C000F2"/>
    <w:rsid w:val="00C06260"/>
    <w:rsid w:val="00C269ED"/>
    <w:rsid w:val="00C26F57"/>
    <w:rsid w:val="00C31418"/>
    <w:rsid w:val="00C365D2"/>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D03773"/>
    <w:rsid w:val="00D17215"/>
    <w:rsid w:val="00D2170C"/>
    <w:rsid w:val="00D21FD1"/>
    <w:rsid w:val="00D240DB"/>
    <w:rsid w:val="00D32BE6"/>
    <w:rsid w:val="00D367E9"/>
    <w:rsid w:val="00D71B95"/>
    <w:rsid w:val="00D74CF4"/>
    <w:rsid w:val="00D81ED6"/>
    <w:rsid w:val="00D9327F"/>
    <w:rsid w:val="00D959E3"/>
    <w:rsid w:val="00DA294A"/>
    <w:rsid w:val="00DB193E"/>
    <w:rsid w:val="00DB7E70"/>
    <w:rsid w:val="00DC173F"/>
    <w:rsid w:val="00DC1CF4"/>
    <w:rsid w:val="00DC7896"/>
    <w:rsid w:val="00DD5D71"/>
    <w:rsid w:val="00DD747F"/>
    <w:rsid w:val="00DE0822"/>
    <w:rsid w:val="00DE4EA8"/>
    <w:rsid w:val="00E10915"/>
    <w:rsid w:val="00E306F1"/>
    <w:rsid w:val="00E308A8"/>
    <w:rsid w:val="00E46A72"/>
    <w:rsid w:val="00E54C48"/>
    <w:rsid w:val="00E60C57"/>
    <w:rsid w:val="00E64DCE"/>
    <w:rsid w:val="00E71E17"/>
    <w:rsid w:val="00E874B8"/>
    <w:rsid w:val="00E923F8"/>
    <w:rsid w:val="00E9293F"/>
    <w:rsid w:val="00EA586E"/>
    <w:rsid w:val="00EC0C0E"/>
    <w:rsid w:val="00EC5D79"/>
    <w:rsid w:val="00ED0286"/>
    <w:rsid w:val="00ED26BC"/>
    <w:rsid w:val="00ED61D8"/>
    <w:rsid w:val="00ED6538"/>
    <w:rsid w:val="00EF1D2E"/>
    <w:rsid w:val="00EF3E16"/>
    <w:rsid w:val="00F01246"/>
    <w:rsid w:val="00F043EC"/>
    <w:rsid w:val="00F138B3"/>
    <w:rsid w:val="00F24A3C"/>
    <w:rsid w:val="00F253E6"/>
    <w:rsid w:val="00F502AD"/>
    <w:rsid w:val="00F77D0B"/>
    <w:rsid w:val="00F83E6A"/>
    <w:rsid w:val="00F87D72"/>
    <w:rsid w:val="00F927FF"/>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F610D3"/>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 TargetMode="External"/><Relationship Id="rId18" Type="http://schemas.openxmlformats.org/officeDocument/2006/relationships/hyperlink" Target="https://e-justice.europa.eu/content_member_state_law-6-en.do" TargetMode="External"/><Relationship Id="rId26" Type="http://schemas.openxmlformats.org/officeDocument/2006/relationships/hyperlink" Target="http://unimelb.hosted.exlibrisgroup.com/sfxlcl41?sid=III:innopac&amp;pid=id=13846299" TargetMode="External"/><Relationship Id="rId39" Type="http://schemas.openxmlformats.org/officeDocument/2006/relationships/hyperlink" Target="https://www.clingendael.org/sites/default/files/2019-11/The_European_Commission_in_Balance_October_2019.pdf" TargetMode="External"/><Relationship Id="rId21" Type="http://schemas.openxmlformats.org/officeDocument/2006/relationships/hyperlink" Target="http://bookshop.europa.eu/en/e-books-cbDyaep2OwDPcAAAFH2zdqoBpl/" TargetMode="External"/><Relationship Id="rId34" Type="http://schemas.openxmlformats.org/officeDocument/2006/relationships/hyperlink" Target="http://libguides.bodleian.ox.ac.uk/law-eu" TargetMode="External"/><Relationship Id="rId42" Type="http://schemas.openxmlformats.org/officeDocument/2006/relationships/hyperlink" Target="https://www.youtube.com/watch?v=nWpgO1EPO_Y"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justice.europa.eu/content_international_case_law-150-en.do" TargetMode="External"/><Relationship Id="rId29" Type="http://schemas.openxmlformats.org/officeDocument/2006/relationships/hyperlink" Target="http://unimelb.hosted.exlibrisgroup.com/sfxlcl41?sid=III:innopac&amp;pid=id=09289801" TargetMode="External"/><Relationship Id="rId11" Type="http://schemas.openxmlformats.org/officeDocument/2006/relationships/hyperlink" Target="mailto:ikonstantinidis@qu.edu.qa" TargetMode="External"/><Relationship Id="rId24" Type="http://schemas.openxmlformats.org/officeDocument/2006/relationships/hyperlink" Target="http://unimelb.hosted.exlibrisgroup.com/sfxlcl41?sid=III:innopac&amp;pid=id=09596941" TargetMode="External"/><Relationship Id="rId32" Type="http://schemas.openxmlformats.org/officeDocument/2006/relationships/hyperlink" Target="http://unimelb.hosted.exlibrisgroup.com/sfxlcl41?sid=III:innopac&amp;pid=id=07036337" TargetMode="External"/><Relationship Id="rId37" Type="http://schemas.openxmlformats.org/officeDocument/2006/relationships/hyperlink" Target="http://blogs.loc.gov/law/2017/06/a-guide-to-researching-eu-law/?loclr=eaiclb" TargetMode="External"/><Relationship Id="rId40" Type="http://schemas.openxmlformats.org/officeDocument/2006/relationships/hyperlink" Target="https://www.youtube.com/watch?v=d0diZ48_q7U" TargetMode="External"/><Relationship Id="rId45" Type="http://schemas.openxmlformats.org/officeDocument/2006/relationships/hyperlink" Target="https://www.youtube.com/watch?v=TGsUPwnRTs8" TargetMode="External"/><Relationship Id="rId5" Type="http://schemas.openxmlformats.org/officeDocument/2006/relationships/numbering" Target="numbering.xml"/><Relationship Id="rId15" Type="http://schemas.openxmlformats.org/officeDocument/2006/relationships/hyperlink" Target="https://e-justice.europa.eu/content_member_state_case_law-13-en.do" TargetMode="External"/><Relationship Id="rId23" Type="http://schemas.openxmlformats.org/officeDocument/2006/relationships/hyperlink" Target="http://unimelb.hosted.exlibrisgroup.com/sfxlcl41?sid=III:innopac&amp;pid=id=01650750" TargetMode="External"/><Relationship Id="rId28" Type="http://schemas.openxmlformats.org/officeDocument/2006/relationships/hyperlink" Target="http://unimelb.hosted.exlibrisgroup.com/sfxlcl41?sid=III:innopac&amp;pid=id=13543725" TargetMode="External"/><Relationship Id="rId36" Type="http://schemas.openxmlformats.org/officeDocument/2006/relationships/hyperlink" Target="http://www.nyulawglobal.org/Globalex/European_Union_Travaux_Preparatoires1.ht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justice.europa.eu/content_international_law-10-en.do" TargetMode="External"/><Relationship Id="rId31" Type="http://schemas.openxmlformats.org/officeDocument/2006/relationships/hyperlink" Target="http://unimelb.hosted.exlibrisgroup.com/sfxlcl41?sid=III:innopac&amp;pid=id=23644710" TargetMode="External"/><Relationship Id="rId44" Type="http://schemas.openxmlformats.org/officeDocument/2006/relationships/hyperlink" Target="https://www.youtube.com/watch?v=bIjyIj7RH1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ustice.europa.eu/content_eu_case_law-12-en.do" TargetMode="External"/><Relationship Id="rId22" Type="http://schemas.openxmlformats.org/officeDocument/2006/relationships/hyperlink" Target="http://unimelb.hosted.exlibrisgroup.com/sfxlcl41?sid=III:innopac&amp;pid=id=10766715" TargetMode="External"/><Relationship Id="rId27" Type="http://schemas.openxmlformats.org/officeDocument/2006/relationships/hyperlink" Target="http://unimelb.hosted.exlibrisgroup.com/sfxlcl41?sid=III:innopac&amp;pid=id=09385428" TargetMode="External"/><Relationship Id="rId30" Type="http://schemas.openxmlformats.org/officeDocument/2006/relationships/hyperlink" Target="http://unimelb.hosted.exlibrisgroup.com/sfxlcl41?sid=III:innopac&amp;pid=id=00219886" TargetMode="External"/><Relationship Id="rId35" Type="http://schemas.openxmlformats.org/officeDocument/2006/relationships/hyperlink" Target="http://www.nyulawglobal.org/globalex/European_Union1.html" TargetMode="External"/><Relationship Id="rId43" Type="http://schemas.openxmlformats.org/officeDocument/2006/relationships/hyperlink" Target="https://www.youtube.com/watch?v=bt84q2CBTPw"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hyperlink" Target="http://eurovoc.europa.eu/drupal/" TargetMode="External"/><Relationship Id="rId17" Type="http://schemas.openxmlformats.org/officeDocument/2006/relationships/hyperlink" Target="https://e-justice.europa.eu/content_eu_law-3-en.do" TargetMode="External"/><Relationship Id="rId25" Type="http://schemas.openxmlformats.org/officeDocument/2006/relationships/hyperlink" Target="http://unimelb.hosted.exlibrisgroup.com/sfxlcl41?sid=III:innopac&amp;pid=id=18793886" TargetMode="External"/><Relationship Id="rId33" Type="http://schemas.openxmlformats.org/officeDocument/2006/relationships/hyperlink" Target="http://unimelb.hosted.exlibrisgroup.com/sfxlcl41?sid=III:innopac&amp;pid=id=15666573" TargetMode="External"/><Relationship Id="rId38" Type="http://schemas.openxmlformats.org/officeDocument/2006/relationships/hyperlink" Target="http://www.asil.org/erg/?page=eu" TargetMode="External"/><Relationship Id="rId46" Type="http://schemas.openxmlformats.org/officeDocument/2006/relationships/hyperlink" Target="https://www.youtube.com/watch?v=TAlcFwGIQBg" TargetMode="External"/><Relationship Id="rId20" Type="http://schemas.openxmlformats.org/officeDocument/2006/relationships/hyperlink" Target="http://europa.eu/about-eu/institutions-bodies/index_en.htm" TargetMode="External"/><Relationship Id="rId41" Type="http://schemas.openxmlformats.org/officeDocument/2006/relationships/hyperlink" Target="https://www.youtube.com/watch?v=K-cRJr7mWw4"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QPT3VHF6MKWP-83287781-39057</_dlc_DocId>
    <_dlc_DocIdUrl xmlns="4595ca7b-3a15-4971-af5f-cadc29c03e04">
      <Url>https://qataruniversity-prd.qu.edu.qa/_layouts/15/DocIdRedir.aspx?ID=QPT3VHF6MKWP-83287781-39057</Url>
      <Description>QPT3VHF6MKWP-83287781-39057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3AF04-9BBA-47A2-A80E-77AA13C7F28C}"/>
</file>

<file path=customXml/itemProps2.xml><?xml version="1.0" encoding="utf-8"?>
<ds:datastoreItem xmlns:ds="http://schemas.openxmlformats.org/officeDocument/2006/customXml" ds:itemID="{63E061F8-F240-4E54-9319-506E731E76BA}"/>
</file>

<file path=customXml/itemProps3.xml><?xml version="1.0" encoding="utf-8"?>
<ds:datastoreItem xmlns:ds="http://schemas.openxmlformats.org/officeDocument/2006/customXml" ds:itemID="{FA6A9626-7B81-4A8C-BEC5-1C0F049C95BA}"/>
</file>

<file path=customXml/itemProps4.xml><?xml version="1.0" encoding="utf-8"?>
<ds:datastoreItem xmlns:ds="http://schemas.openxmlformats.org/officeDocument/2006/customXml" ds:itemID="{6505A41D-9E35-4AA0-B155-DB0EE0D3D5DD}"/>
</file>

<file path=customXml/itemProps5.xml><?xml version="1.0" encoding="utf-8"?>
<ds:datastoreItem xmlns:ds="http://schemas.openxmlformats.org/officeDocument/2006/customXml" ds:itemID="{96FDCD6C-DA9D-4DB6-86AF-E47B3C2A6FE4}"/>
</file>

<file path=docProps/app.xml><?xml version="1.0" encoding="utf-8"?>
<Properties xmlns="http://schemas.openxmlformats.org/officeDocument/2006/extended-properties" xmlns:vt="http://schemas.openxmlformats.org/officeDocument/2006/docPropsVTypes">
  <Template>Normal</Template>
  <TotalTime>248</TotalTime>
  <Pages>6</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Ioannis Konstantinidis</cp:lastModifiedBy>
  <cp:revision>13</cp:revision>
  <cp:lastPrinted>2020-03-22T11:34:00Z</cp:lastPrinted>
  <dcterms:created xsi:type="dcterms:W3CDTF">2020-03-22T11:34:00Z</dcterms:created>
  <dcterms:modified xsi:type="dcterms:W3CDTF">2021-03-07T07:42:00Z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07f7e13e-2554-4055-ab6c-ba7b6e104b1f</vt:lpwstr>
  </property>
</Properties>
</file>